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9069F5" w14:textId="77777777" w:rsidR="007E5382" w:rsidRDefault="007E538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390"/>
        <w:gridCol w:w="2369"/>
        <w:gridCol w:w="2279"/>
        <w:gridCol w:w="1883"/>
        <w:gridCol w:w="1328"/>
        <w:gridCol w:w="1266"/>
        <w:gridCol w:w="2283"/>
      </w:tblGrid>
      <w:tr w:rsidR="00431444" w:rsidRPr="00C7466A" w14:paraId="6A938965" w14:textId="77777777" w:rsidTr="00C7466A">
        <w:trPr>
          <w:trHeight w:val="394"/>
        </w:trPr>
        <w:tc>
          <w:tcPr>
            <w:tcW w:w="0" w:type="auto"/>
            <w:gridSpan w:val="8"/>
            <w:shd w:val="clear" w:color="auto" w:fill="BDD6EE"/>
            <w:vAlign w:val="center"/>
          </w:tcPr>
          <w:p w14:paraId="193D9540" w14:textId="77777777" w:rsidR="007E5382" w:rsidRPr="00C7466A" w:rsidRDefault="00431444" w:rsidP="00C7466A">
            <w:pPr>
              <w:spacing w:after="0" w:line="240" w:lineRule="auto"/>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14:paraId="70CE409D" w14:textId="77777777" w:rsidTr="00C7466A">
        <w:tc>
          <w:tcPr>
            <w:tcW w:w="15614" w:type="dxa"/>
            <w:gridSpan w:val="8"/>
            <w:shd w:val="clear" w:color="auto" w:fill="BDD6EE"/>
          </w:tcPr>
          <w:p w14:paraId="390ADD08" w14:textId="77777777" w:rsidR="00232B28" w:rsidRPr="00C7466A" w:rsidRDefault="00232B28" w:rsidP="00C7466A">
            <w:pPr>
              <w:spacing w:after="0" w:line="240" w:lineRule="auto"/>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6259E7" w:rsidRPr="00C7466A" w14:paraId="6F7AEAB9" w14:textId="77777777" w:rsidTr="006259E7">
        <w:trPr>
          <w:trHeight w:val="566"/>
        </w:trPr>
        <w:tc>
          <w:tcPr>
            <w:tcW w:w="8854" w:type="dxa"/>
            <w:gridSpan w:val="4"/>
            <w:shd w:val="clear" w:color="auto" w:fill="DEEAF6"/>
            <w:vAlign w:val="center"/>
          </w:tcPr>
          <w:p w14:paraId="3391B688" w14:textId="6F7B6AD3" w:rsidR="00D72212" w:rsidRPr="00C3059E" w:rsidRDefault="00D72212" w:rsidP="00D72212">
            <w:pPr>
              <w:pStyle w:val="ListParagraph"/>
              <w:spacing w:after="0" w:line="240" w:lineRule="auto"/>
              <w:ind w:left="0"/>
              <w:rPr>
                <w:rFonts w:eastAsia="Times New Roman"/>
                <w:b/>
              </w:rPr>
            </w:pPr>
            <w:bookmarkStart w:id="0" w:name="_GoBack" w:colFirst="1" w:colLast="1"/>
            <w:r>
              <w:rPr>
                <w:rFonts w:eastAsia="Times New Roman"/>
                <w:b/>
              </w:rPr>
              <w:t>Project and Title of report</w:t>
            </w:r>
          </w:p>
          <w:p w14:paraId="78143DAB" w14:textId="23820BDF" w:rsidR="00C3059E" w:rsidRPr="00C3059E" w:rsidRDefault="00C3059E" w:rsidP="00C3059E">
            <w:pPr>
              <w:pStyle w:val="ListParagraph"/>
              <w:spacing w:after="0" w:line="240" w:lineRule="auto"/>
              <w:ind w:left="0"/>
              <w:rPr>
                <w:rFonts w:eastAsia="Times New Roman"/>
                <w:b/>
              </w:rPr>
            </w:pPr>
          </w:p>
        </w:tc>
        <w:tc>
          <w:tcPr>
            <w:tcW w:w="6760" w:type="dxa"/>
            <w:gridSpan w:val="4"/>
            <w:shd w:val="clear" w:color="auto" w:fill="F2F2F2"/>
          </w:tcPr>
          <w:p w14:paraId="76E5BFE9" w14:textId="57FAB194" w:rsidR="00FC3D9F" w:rsidRPr="00A21AF8" w:rsidRDefault="00FC3D9F" w:rsidP="00FC3D9F">
            <w:pPr>
              <w:spacing w:after="0" w:line="240" w:lineRule="auto"/>
              <w:rPr>
                <w:rFonts w:cs="Calibri"/>
                <w:b/>
                <w:bCs/>
              </w:rPr>
            </w:pPr>
            <w:r w:rsidRPr="00A21AF8">
              <w:rPr>
                <w:rFonts w:cs="Calibri"/>
                <w:b/>
                <w:bCs/>
              </w:rPr>
              <w:t>National Audit of Cardiac Rhythm Management Devices and Ablation 2020 Summary Report (2017/18 &amp; 2018/19 data).</w:t>
            </w:r>
          </w:p>
          <w:p w14:paraId="3B8EC727" w14:textId="77777777" w:rsidR="00C3059E" w:rsidRPr="00A21AF8" w:rsidRDefault="00C3059E" w:rsidP="00C7466A">
            <w:pPr>
              <w:spacing w:after="0" w:line="240" w:lineRule="auto"/>
              <w:rPr>
                <w:rFonts w:cs="Calibri"/>
                <w:b/>
              </w:rPr>
            </w:pPr>
          </w:p>
        </w:tc>
      </w:tr>
      <w:tr w:rsidR="006259E7" w:rsidRPr="00C7466A" w14:paraId="7C083913" w14:textId="77777777" w:rsidTr="006259E7">
        <w:trPr>
          <w:trHeight w:val="140"/>
        </w:trPr>
        <w:tc>
          <w:tcPr>
            <w:tcW w:w="8854" w:type="dxa"/>
            <w:gridSpan w:val="4"/>
            <w:shd w:val="clear" w:color="auto" w:fill="DEEAF6"/>
          </w:tcPr>
          <w:p w14:paraId="598BA6F4"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14:paraId="5D90C045" w14:textId="77777777" w:rsidR="00BC1CB7" w:rsidRPr="00C7466A" w:rsidRDefault="00BC1CB7" w:rsidP="00C7466A">
            <w:pPr>
              <w:pStyle w:val="ListParagraph"/>
              <w:spacing w:after="0" w:line="240" w:lineRule="auto"/>
              <w:rPr>
                <w:rFonts w:cs="Calibri"/>
                <w:b/>
              </w:rPr>
            </w:pPr>
          </w:p>
        </w:tc>
        <w:tc>
          <w:tcPr>
            <w:tcW w:w="6760" w:type="dxa"/>
            <w:gridSpan w:val="4"/>
            <w:shd w:val="clear" w:color="auto" w:fill="F2F2F2"/>
          </w:tcPr>
          <w:p w14:paraId="152D0AE9" w14:textId="6DF8E693" w:rsidR="00232B28" w:rsidRPr="00A21AF8" w:rsidRDefault="00FC3D9F" w:rsidP="00FC3D9F">
            <w:pPr>
              <w:spacing w:after="0" w:line="240" w:lineRule="auto"/>
              <w:rPr>
                <w:rFonts w:cs="Calibri"/>
                <w:b/>
                <w:bCs/>
              </w:rPr>
            </w:pPr>
            <w:r w:rsidRPr="00A21AF8">
              <w:rPr>
                <w:rFonts w:cs="Calibri"/>
                <w:b/>
                <w:bCs/>
              </w:rPr>
              <w:t>All device (pacemakers, implantable cardioverter defibrillators and cardiac resynchronisation devices) and ablation procedures for the management of cardiac arrhythmias. The report describes procedures for cardiac rhythm management (CRM – devices and ablation) between 1st April 2017 and 31st March 2019 and looks at the data against a number of standards, describing safety, effectiveness and outcomes.</w:t>
            </w:r>
          </w:p>
        </w:tc>
      </w:tr>
      <w:tr w:rsidR="006259E7" w:rsidRPr="00C7466A" w14:paraId="412E0C52" w14:textId="77777777" w:rsidTr="006259E7">
        <w:trPr>
          <w:trHeight w:val="220"/>
        </w:trPr>
        <w:tc>
          <w:tcPr>
            <w:tcW w:w="8854" w:type="dxa"/>
            <w:gridSpan w:val="4"/>
            <w:shd w:val="clear" w:color="auto" w:fill="DEEAF6"/>
          </w:tcPr>
          <w:p w14:paraId="62828317"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14:paraId="43EBE67E" w14:textId="77777777" w:rsidR="00BC1CB7" w:rsidRPr="00C7466A" w:rsidRDefault="00BC1CB7" w:rsidP="00C7466A">
            <w:pPr>
              <w:pStyle w:val="ListParagraph"/>
              <w:spacing w:after="0" w:line="240" w:lineRule="auto"/>
              <w:rPr>
                <w:rFonts w:cs="Calibri"/>
                <w:b/>
              </w:rPr>
            </w:pPr>
          </w:p>
        </w:tc>
        <w:tc>
          <w:tcPr>
            <w:tcW w:w="6760" w:type="dxa"/>
            <w:gridSpan w:val="4"/>
            <w:shd w:val="clear" w:color="auto" w:fill="F2F2F2"/>
          </w:tcPr>
          <w:p w14:paraId="4BF64125" w14:textId="78164122" w:rsidR="00232B28" w:rsidRPr="00A21AF8" w:rsidRDefault="00FC3D9F" w:rsidP="00C7466A">
            <w:pPr>
              <w:tabs>
                <w:tab w:val="left" w:pos="1155"/>
              </w:tabs>
              <w:spacing w:after="0" w:line="240" w:lineRule="auto"/>
              <w:rPr>
                <w:rFonts w:cs="Calibri"/>
                <w:b/>
                <w:bCs/>
              </w:rPr>
            </w:pPr>
            <w:r w:rsidRPr="00A21AF8">
              <w:rPr>
                <w:rFonts w:cs="Calibri"/>
                <w:b/>
                <w:bCs/>
              </w:rPr>
              <w:t>All countries of the UK</w:t>
            </w:r>
          </w:p>
        </w:tc>
      </w:tr>
      <w:tr w:rsidR="006259E7" w:rsidRPr="00C7466A" w14:paraId="7EFFDEEC" w14:textId="77777777" w:rsidTr="006259E7">
        <w:trPr>
          <w:trHeight w:val="220"/>
        </w:trPr>
        <w:tc>
          <w:tcPr>
            <w:tcW w:w="8854" w:type="dxa"/>
            <w:gridSpan w:val="4"/>
            <w:shd w:val="clear" w:color="auto" w:fill="DEEAF6"/>
          </w:tcPr>
          <w:p w14:paraId="1E9B8480" w14:textId="77777777" w:rsidR="00232B28" w:rsidRPr="00C7466A" w:rsidRDefault="00232B28" w:rsidP="00C7466A">
            <w:pPr>
              <w:numPr>
                <w:ilvl w:val="0"/>
                <w:numId w:val="4"/>
              </w:numPr>
              <w:spacing w:after="0" w:line="240" w:lineRule="auto"/>
              <w:rPr>
                <w:rFonts w:cs="Calibri"/>
                <w:b/>
              </w:rPr>
            </w:pPr>
            <w:r w:rsidRPr="00C7466A">
              <w:rPr>
                <w:rFonts w:eastAsia="Times New Roman"/>
              </w:rPr>
              <w:t xml:space="preserve">The number of previous </w:t>
            </w:r>
            <w:r w:rsidR="00DF7380" w:rsidRPr="00C7466A">
              <w:rPr>
                <w:rFonts w:eastAsia="Times New Roman"/>
              </w:rPr>
              <w:t>project</w:t>
            </w:r>
            <w:r w:rsidRPr="00C7466A">
              <w:rPr>
                <w:rFonts w:eastAsia="Times New Roman"/>
              </w:rPr>
              <w:t>s (e.g. whether it is the 4</w:t>
            </w:r>
            <w:r w:rsidRPr="00C7466A">
              <w:rPr>
                <w:rFonts w:eastAsia="Times New Roman"/>
                <w:vertAlign w:val="superscript"/>
              </w:rPr>
              <w:t>th</w:t>
            </w:r>
            <w:r w:rsidRPr="00C7466A">
              <w:rPr>
                <w:rFonts w:eastAsia="Times New Roman"/>
              </w:rPr>
              <w:t xml:space="preserve"> </w:t>
            </w:r>
            <w:r w:rsidR="00DF7380" w:rsidRPr="00C7466A">
              <w:rPr>
                <w:rFonts w:eastAsia="Times New Roman"/>
              </w:rPr>
              <w:t>project</w:t>
            </w:r>
            <w:r w:rsidRPr="00C7466A">
              <w:rPr>
                <w:rFonts w:eastAsia="Times New Roman"/>
              </w:rPr>
              <w:t xml:space="preserve"> or if it is a continuous </w:t>
            </w:r>
            <w:r w:rsidR="00DF7380" w:rsidRPr="00C7466A">
              <w:rPr>
                <w:rFonts w:eastAsia="Times New Roman"/>
              </w:rPr>
              <w:t>project</w:t>
            </w:r>
            <w:r w:rsidRPr="00C7466A">
              <w:rPr>
                <w:rFonts w:eastAsia="Times New Roman"/>
              </w:rPr>
              <w:t>)</w:t>
            </w:r>
          </w:p>
          <w:p w14:paraId="4F36ECC1" w14:textId="77777777" w:rsidR="00BC1CB7" w:rsidRPr="00C7466A" w:rsidRDefault="00BC1CB7" w:rsidP="00C7466A">
            <w:pPr>
              <w:spacing w:after="0" w:line="240" w:lineRule="auto"/>
              <w:ind w:left="720"/>
              <w:rPr>
                <w:rFonts w:cs="Calibri"/>
                <w:b/>
              </w:rPr>
            </w:pPr>
          </w:p>
        </w:tc>
        <w:tc>
          <w:tcPr>
            <w:tcW w:w="6760" w:type="dxa"/>
            <w:gridSpan w:val="4"/>
            <w:shd w:val="clear" w:color="auto" w:fill="F2F2F2"/>
          </w:tcPr>
          <w:p w14:paraId="0925822E" w14:textId="28ACB062" w:rsidR="00232B28" w:rsidRPr="00A21AF8" w:rsidRDefault="00FC3D9F" w:rsidP="00FC3D9F">
            <w:pPr>
              <w:spacing w:after="0" w:line="240" w:lineRule="auto"/>
              <w:rPr>
                <w:rFonts w:cs="Calibri"/>
                <w:b/>
                <w:bCs/>
              </w:rPr>
            </w:pPr>
            <w:r w:rsidRPr="00A21AF8">
              <w:rPr>
                <w:rFonts w:cs="Calibri"/>
                <w:b/>
                <w:bCs/>
              </w:rPr>
              <w:t>There have been 12 previous device reports and 10 previous ablation reports.</w:t>
            </w:r>
          </w:p>
        </w:tc>
      </w:tr>
      <w:tr w:rsidR="006259E7" w:rsidRPr="00C7466A" w14:paraId="018F3C9E" w14:textId="77777777" w:rsidTr="006259E7">
        <w:trPr>
          <w:trHeight w:val="220"/>
        </w:trPr>
        <w:tc>
          <w:tcPr>
            <w:tcW w:w="8854" w:type="dxa"/>
            <w:gridSpan w:val="4"/>
            <w:shd w:val="clear" w:color="auto" w:fill="DEEAF6"/>
          </w:tcPr>
          <w:p w14:paraId="3917F720" w14:textId="77777777" w:rsidR="00232B28" w:rsidRPr="00C7466A" w:rsidRDefault="00232B28" w:rsidP="00C7466A">
            <w:pPr>
              <w:numPr>
                <w:ilvl w:val="0"/>
                <w:numId w:val="4"/>
              </w:numPr>
              <w:spacing w:after="0" w:line="240" w:lineRule="auto"/>
              <w:rPr>
                <w:rFonts w:cs="Calibri"/>
                <w:b/>
              </w:rPr>
            </w:pPr>
            <w:r w:rsidRPr="00C7466A">
              <w:rPr>
                <w:rFonts w:eastAsia="Times New Roman"/>
              </w:rPr>
              <w:t>The date the data is related to (please include the start and end points – e.g. from 1 January 2016 to 1 October 2016)</w:t>
            </w:r>
          </w:p>
          <w:p w14:paraId="677055F9" w14:textId="77777777" w:rsidR="00BC1CB7" w:rsidRPr="00C7466A" w:rsidRDefault="00BC1CB7" w:rsidP="00C7466A">
            <w:pPr>
              <w:spacing w:after="0" w:line="240" w:lineRule="auto"/>
              <w:ind w:left="720"/>
              <w:rPr>
                <w:rFonts w:cs="Calibri"/>
                <w:b/>
              </w:rPr>
            </w:pPr>
          </w:p>
        </w:tc>
        <w:tc>
          <w:tcPr>
            <w:tcW w:w="6760" w:type="dxa"/>
            <w:gridSpan w:val="4"/>
            <w:shd w:val="clear" w:color="auto" w:fill="F2F2F2"/>
          </w:tcPr>
          <w:p w14:paraId="5B9F1902" w14:textId="55D00716" w:rsidR="00232B28" w:rsidRPr="00A21AF8" w:rsidRDefault="00FC3D9F" w:rsidP="00C7466A">
            <w:pPr>
              <w:spacing w:after="0" w:line="240" w:lineRule="auto"/>
              <w:rPr>
                <w:rFonts w:cs="Calibri"/>
                <w:b/>
                <w:bCs/>
              </w:rPr>
            </w:pPr>
            <w:r w:rsidRPr="00A21AF8">
              <w:rPr>
                <w:rFonts w:cs="Calibri"/>
                <w:b/>
                <w:bCs/>
              </w:rPr>
              <w:t>1st April 2017 and 31st March 2019</w:t>
            </w:r>
          </w:p>
        </w:tc>
      </w:tr>
      <w:tr w:rsidR="006259E7" w:rsidRPr="00C7466A" w14:paraId="38649A33" w14:textId="77777777" w:rsidTr="006259E7">
        <w:trPr>
          <w:trHeight w:val="220"/>
        </w:trPr>
        <w:tc>
          <w:tcPr>
            <w:tcW w:w="8854" w:type="dxa"/>
            <w:gridSpan w:val="4"/>
            <w:shd w:val="clear" w:color="auto" w:fill="DEEAF6"/>
          </w:tcPr>
          <w:p w14:paraId="6F153989" w14:textId="77777777" w:rsidR="00232B28" w:rsidRPr="00C7466A" w:rsidRDefault="00232B28" w:rsidP="00C7466A">
            <w:pPr>
              <w:numPr>
                <w:ilvl w:val="0"/>
                <w:numId w:val="4"/>
              </w:numPr>
              <w:spacing w:after="0" w:line="240" w:lineRule="auto"/>
              <w:rPr>
                <w:rFonts w:cs="Calibri"/>
                <w:b/>
              </w:rPr>
            </w:pPr>
            <w:r w:rsidRPr="00C7466A">
              <w:rPr>
                <w:rFonts w:eastAsia="Times New Roman"/>
              </w:rPr>
              <w:t xml:space="preserve">Any links to NHS England/NHS Improvement objectives or </w:t>
            </w:r>
            <w:r w:rsidR="00BC1CB7" w:rsidRPr="00C7466A">
              <w:rPr>
                <w:rFonts w:eastAsia="Times New Roman"/>
              </w:rPr>
              <w:t xml:space="preserve">professional </w:t>
            </w:r>
            <w:r w:rsidRPr="00C7466A">
              <w:rPr>
                <w:rFonts w:eastAsia="Times New Roman"/>
              </w:rPr>
              <w:t>work-plans (only if you are aware of any)</w:t>
            </w:r>
          </w:p>
          <w:p w14:paraId="1C4D2932" w14:textId="77777777" w:rsidR="00BC1CB7" w:rsidRPr="00C7466A" w:rsidRDefault="00BC1CB7" w:rsidP="00C7466A">
            <w:pPr>
              <w:spacing w:after="0" w:line="240" w:lineRule="auto"/>
              <w:ind w:left="720"/>
              <w:rPr>
                <w:rFonts w:cs="Calibri"/>
                <w:b/>
              </w:rPr>
            </w:pPr>
          </w:p>
        </w:tc>
        <w:tc>
          <w:tcPr>
            <w:tcW w:w="6760" w:type="dxa"/>
            <w:gridSpan w:val="4"/>
            <w:shd w:val="clear" w:color="auto" w:fill="F2F2F2"/>
          </w:tcPr>
          <w:p w14:paraId="57321BE2" w14:textId="2040C5A2" w:rsidR="00232B28" w:rsidRPr="00A21AF8" w:rsidRDefault="00B62764" w:rsidP="00C7466A">
            <w:pPr>
              <w:spacing w:after="0" w:line="240" w:lineRule="auto"/>
              <w:rPr>
                <w:rFonts w:cs="Calibri"/>
                <w:b/>
                <w:bCs/>
              </w:rPr>
            </w:pPr>
            <w:r w:rsidRPr="00A21AF8">
              <w:rPr>
                <w:rFonts w:cs="Calibri"/>
                <w:b/>
                <w:bCs/>
              </w:rPr>
              <w:t>Results are also used by CQC and GIRFT</w:t>
            </w:r>
          </w:p>
        </w:tc>
      </w:tr>
      <w:bookmarkEnd w:id="0"/>
      <w:tr w:rsidR="00232B28" w:rsidRPr="00C7466A" w14:paraId="6BE1BAFF" w14:textId="77777777" w:rsidTr="00C7466A">
        <w:tc>
          <w:tcPr>
            <w:tcW w:w="15614" w:type="dxa"/>
            <w:gridSpan w:val="8"/>
            <w:shd w:val="clear" w:color="auto" w:fill="BDD6EE"/>
          </w:tcPr>
          <w:p w14:paraId="067C5BFD" w14:textId="77777777" w:rsidR="00232B28" w:rsidRPr="00C7466A" w:rsidRDefault="00232B28" w:rsidP="00C7466A">
            <w:pPr>
              <w:spacing w:after="0" w:line="240" w:lineRule="auto"/>
              <w:rPr>
                <w:rFonts w:cs="Calibri"/>
                <w:b/>
              </w:rPr>
            </w:pPr>
            <w:r w:rsidRPr="00C7466A">
              <w:rPr>
                <w:rFonts w:cs="Calibri"/>
                <w:b/>
              </w:rPr>
              <w:t>Please can the provider complete the below for each recommendation in the report</w:t>
            </w:r>
          </w:p>
        </w:tc>
      </w:tr>
      <w:tr w:rsidR="006259E7" w:rsidRPr="00C7466A" w14:paraId="2AB57DB5" w14:textId="77777777" w:rsidTr="00C7466A">
        <w:tc>
          <w:tcPr>
            <w:tcW w:w="816" w:type="dxa"/>
            <w:shd w:val="clear" w:color="auto" w:fill="DEEAF6"/>
          </w:tcPr>
          <w:p w14:paraId="4DCFAA6B" w14:textId="77777777" w:rsidR="00431444" w:rsidRPr="00C7466A" w:rsidRDefault="00897779" w:rsidP="00C7466A">
            <w:pPr>
              <w:spacing w:after="0" w:line="240" w:lineRule="auto"/>
              <w:rPr>
                <w:rFonts w:cs="Calibri"/>
                <w:b/>
              </w:rPr>
            </w:pPr>
            <w:r w:rsidRPr="00C7466A">
              <w:br w:type="page"/>
            </w:r>
            <w:r w:rsidR="00431444" w:rsidRPr="00C7466A">
              <w:rPr>
                <w:rFonts w:cs="Calibri"/>
                <w:b/>
              </w:rPr>
              <w:t>No</w:t>
            </w:r>
            <w:r w:rsidR="00BF4322" w:rsidRPr="00C7466A">
              <w:rPr>
                <w:rFonts w:cs="Calibri"/>
                <w:b/>
              </w:rPr>
              <w:t>.</w:t>
            </w:r>
          </w:p>
        </w:tc>
        <w:tc>
          <w:tcPr>
            <w:tcW w:w="3390" w:type="dxa"/>
            <w:shd w:val="clear" w:color="auto" w:fill="DEEAF6"/>
          </w:tcPr>
          <w:p w14:paraId="32C9A65C" w14:textId="77777777" w:rsidR="00431444" w:rsidRPr="00C7466A" w:rsidRDefault="00431444" w:rsidP="00C7466A">
            <w:pPr>
              <w:spacing w:after="0" w:line="240" w:lineRule="auto"/>
              <w:rPr>
                <w:rFonts w:cs="Calibri"/>
                <w:b/>
              </w:rPr>
            </w:pPr>
            <w:r w:rsidRPr="00C7466A">
              <w:rPr>
                <w:rFonts w:cs="Calibri"/>
                <w:b/>
              </w:rPr>
              <w:t>Recommendation</w:t>
            </w:r>
          </w:p>
        </w:tc>
        <w:tc>
          <w:tcPr>
            <w:tcW w:w="0" w:type="auto"/>
            <w:shd w:val="clear" w:color="auto" w:fill="DEEAF6"/>
          </w:tcPr>
          <w:p w14:paraId="7CFFE8F1" w14:textId="77777777" w:rsidR="00431444" w:rsidRPr="00C7466A" w:rsidRDefault="00431444" w:rsidP="00C7466A">
            <w:pPr>
              <w:spacing w:after="0" w:line="240" w:lineRule="auto"/>
              <w:rPr>
                <w:rFonts w:cs="Calibri"/>
                <w:b/>
              </w:rPr>
            </w:pPr>
            <w:r w:rsidRPr="00C7466A">
              <w:rPr>
                <w:rFonts w:cs="Calibri"/>
                <w:b/>
              </w:rPr>
              <w:t xml:space="preserve">Evidence </w:t>
            </w:r>
            <w:r w:rsidR="00DB28AD" w:rsidRPr="00C7466A">
              <w:rPr>
                <w:rFonts w:cs="Calibri"/>
                <w:b/>
              </w:rPr>
              <w:t xml:space="preserve">in the report which </w:t>
            </w:r>
            <w:r w:rsidRPr="00C7466A">
              <w:rPr>
                <w:rFonts w:cs="Calibri"/>
                <w:b/>
              </w:rPr>
              <w:t>underpin</w:t>
            </w:r>
            <w:r w:rsidR="00DB28AD" w:rsidRPr="00C7466A">
              <w:rPr>
                <w:rFonts w:cs="Calibri"/>
                <w:b/>
              </w:rPr>
              <w:t>s</w:t>
            </w:r>
            <w:r w:rsidRPr="00C7466A">
              <w:rPr>
                <w:rFonts w:cs="Calibri"/>
                <w:b/>
              </w:rPr>
              <w:t xml:space="preserve"> the recommendation</w:t>
            </w:r>
          </w:p>
        </w:tc>
        <w:tc>
          <w:tcPr>
            <w:tcW w:w="0" w:type="auto"/>
            <w:gridSpan w:val="2"/>
            <w:shd w:val="clear" w:color="auto" w:fill="DEEAF6"/>
          </w:tcPr>
          <w:p w14:paraId="0098575F" w14:textId="77777777" w:rsidR="00431444" w:rsidRPr="00C7466A" w:rsidRDefault="00431444" w:rsidP="00C7466A">
            <w:pPr>
              <w:spacing w:after="0" w:line="240" w:lineRule="auto"/>
              <w:rPr>
                <w:rFonts w:cs="Calibri"/>
                <w:b/>
              </w:rPr>
            </w:pPr>
            <w:r w:rsidRPr="00C7466A">
              <w:rPr>
                <w:rFonts w:cs="Calibri"/>
                <w:b/>
              </w:rPr>
              <w:t xml:space="preserve">Current national </w:t>
            </w:r>
            <w:r w:rsidR="00C7466A" w:rsidRPr="00C7466A">
              <w:rPr>
                <w:rFonts w:cs="Calibri"/>
                <w:b/>
              </w:rPr>
              <w:t xml:space="preserve">audit </w:t>
            </w:r>
            <w:r w:rsidRPr="00C7466A">
              <w:rPr>
                <w:rFonts w:cs="Calibri"/>
                <w:b/>
              </w:rPr>
              <w:t>benchmarking standard if there is one</w:t>
            </w:r>
            <w:r w:rsidR="00C7466A" w:rsidRPr="00C7466A">
              <w:rPr>
                <w:rFonts w:cs="Calibri"/>
                <w:b/>
              </w:rPr>
              <w:t xml:space="preserve"> </w:t>
            </w:r>
          </w:p>
        </w:tc>
        <w:tc>
          <w:tcPr>
            <w:tcW w:w="0" w:type="auto"/>
            <w:shd w:val="clear" w:color="auto" w:fill="DEEAF6"/>
          </w:tcPr>
          <w:p w14:paraId="6F5C87B0" w14:textId="77777777" w:rsidR="00431444" w:rsidRPr="00C7466A" w:rsidRDefault="00FC36C9" w:rsidP="00C7466A">
            <w:pPr>
              <w:spacing w:after="0" w:line="240" w:lineRule="auto"/>
              <w:rPr>
                <w:rFonts w:cs="Calibri"/>
                <w:b/>
              </w:rPr>
            </w:pPr>
            <w:r w:rsidRPr="00C7466A">
              <w:rPr>
                <w:b/>
              </w:rPr>
              <w:t>Associated NHS payment levers or incentives’</w:t>
            </w:r>
          </w:p>
        </w:tc>
        <w:tc>
          <w:tcPr>
            <w:tcW w:w="0" w:type="auto"/>
            <w:shd w:val="clear" w:color="auto" w:fill="DEEAF6"/>
          </w:tcPr>
          <w:p w14:paraId="4BCE6346" w14:textId="77777777" w:rsidR="00431444" w:rsidRPr="00C7466A" w:rsidRDefault="00C7466A" w:rsidP="00C7466A">
            <w:pPr>
              <w:spacing w:after="0" w:line="240" w:lineRule="auto"/>
              <w:rPr>
                <w:rFonts w:cs="Calibri"/>
                <w:b/>
              </w:rPr>
            </w:pPr>
            <w:r w:rsidRPr="00C7466A">
              <w:rPr>
                <w:rFonts w:cs="Calibri"/>
                <w:b/>
              </w:rPr>
              <w:t xml:space="preserve">Guidance available (for example, </w:t>
            </w:r>
            <w:r w:rsidR="00431444" w:rsidRPr="00C7466A">
              <w:rPr>
                <w:rFonts w:cs="Calibri"/>
                <w:b/>
              </w:rPr>
              <w:t>NICE guideline)</w:t>
            </w:r>
          </w:p>
        </w:tc>
        <w:tc>
          <w:tcPr>
            <w:tcW w:w="0" w:type="auto"/>
            <w:shd w:val="clear" w:color="auto" w:fill="DEEAF6"/>
          </w:tcPr>
          <w:p w14:paraId="47C34EDE" w14:textId="77777777" w:rsidR="00431444" w:rsidRPr="00C7466A" w:rsidRDefault="00FC36C9" w:rsidP="00C7466A">
            <w:pPr>
              <w:spacing w:after="0" w:line="240" w:lineRule="auto"/>
              <w:rPr>
                <w:rFonts w:cs="Calibri"/>
                <w:b/>
              </w:rPr>
            </w:pPr>
            <w:r w:rsidRPr="00C7466A">
              <w:rPr>
                <w:rFonts w:cs="Calibri"/>
                <w:b/>
              </w:rPr>
              <w:t xml:space="preserve">% </w:t>
            </w:r>
            <w:r w:rsidR="00DF7380" w:rsidRPr="00C7466A">
              <w:rPr>
                <w:rFonts w:cs="Calibri"/>
                <w:b/>
              </w:rPr>
              <w:t>project</w:t>
            </w:r>
            <w:r w:rsidRPr="00C7466A">
              <w:rPr>
                <w:rFonts w:cs="Calibri"/>
                <w:b/>
              </w:rPr>
              <w:t xml:space="preserve"> r</w:t>
            </w:r>
            <w:r w:rsidR="00431444" w:rsidRPr="00C7466A">
              <w:rPr>
                <w:rFonts w:cs="Calibri"/>
                <w:b/>
              </w:rPr>
              <w:t>esult if the question previously asked</w:t>
            </w:r>
            <w:r w:rsidRPr="00C7466A">
              <w:rPr>
                <w:rFonts w:cs="Calibri"/>
                <w:b/>
              </w:rPr>
              <w:t xml:space="preserve"> by the </w:t>
            </w:r>
            <w:r w:rsidR="00DF7380" w:rsidRPr="00C7466A">
              <w:rPr>
                <w:rFonts w:cs="Calibri"/>
                <w:b/>
              </w:rPr>
              <w:t>project</w:t>
            </w:r>
            <w:r w:rsidR="00431444" w:rsidRPr="00C7466A">
              <w:rPr>
                <w:rFonts w:cs="Calibri"/>
                <w:b/>
              </w:rPr>
              <w:t xml:space="preserve"> (date asked and result).  If not asked before please denote N/A</w:t>
            </w:r>
            <w:r w:rsidRPr="00C7466A">
              <w:rPr>
                <w:rFonts w:cs="Calibri"/>
                <w:b/>
              </w:rPr>
              <w:t xml:space="preserve">.  This is so that </w:t>
            </w:r>
            <w:r w:rsidR="00BC1CB7" w:rsidRPr="00C7466A">
              <w:rPr>
                <w:rFonts w:cs="Calibri"/>
                <w:b/>
              </w:rPr>
              <w:t>there is</w:t>
            </w:r>
            <w:r w:rsidRPr="00C7466A">
              <w:rPr>
                <w:rFonts w:cs="Calibri"/>
                <w:b/>
              </w:rPr>
              <w:t xml:space="preserve"> an indication of whether the result has increased or decreased and over </w:t>
            </w:r>
            <w:r w:rsidRPr="00C7466A">
              <w:rPr>
                <w:rFonts w:cs="Calibri"/>
                <w:b/>
              </w:rPr>
              <w:lastRenderedPageBreak/>
              <w:t>what period of time</w:t>
            </w:r>
          </w:p>
        </w:tc>
      </w:tr>
      <w:tr w:rsidR="006259E7" w:rsidRPr="00C7466A" w14:paraId="35B0175D" w14:textId="77777777" w:rsidTr="00C7466A">
        <w:tc>
          <w:tcPr>
            <w:tcW w:w="816" w:type="dxa"/>
            <w:shd w:val="clear" w:color="auto" w:fill="auto"/>
          </w:tcPr>
          <w:p w14:paraId="215BBAC5" w14:textId="2869723C" w:rsidR="00066F68" w:rsidRPr="00C7466A" w:rsidRDefault="00066F68" w:rsidP="00C7466A">
            <w:pPr>
              <w:spacing w:after="0" w:line="240" w:lineRule="auto"/>
              <w:rPr>
                <w:rFonts w:cs="Calibri"/>
              </w:rPr>
            </w:pPr>
            <w:r>
              <w:rPr>
                <w:rFonts w:cs="Calibri"/>
              </w:rPr>
              <w:lastRenderedPageBreak/>
              <w:t>Rec 1</w:t>
            </w:r>
          </w:p>
        </w:tc>
        <w:tc>
          <w:tcPr>
            <w:tcW w:w="3390" w:type="dxa"/>
            <w:shd w:val="clear" w:color="auto" w:fill="auto"/>
          </w:tcPr>
          <w:p w14:paraId="21578D78" w14:textId="77777777" w:rsidR="0099267D" w:rsidRPr="0099267D" w:rsidRDefault="0099267D" w:rsidP="0099267D">
            <w:pPr>
              <w:ind w:left="35"/>
              <w:rPr>
                <w:rFonts w:asciiTheme="minorHAnsi" w:hAnsiTheme="minorHAnsi"/>
                <w:iCs/>
                <w:color w:val="000000" w:themeColor="text1"/>
              </w:rPr>
            </w:pPr>
            <w:r w:rsidRPr="0099267D">
              <w:rPr>
                <w:rFonts w:asciiTheme="minorHAnsi" w:hAnsiTheme="minorHAnsi"/>
                <w:iCs/>
                <w:color w:val="000000" w:themeColor="text1"/>
              </w:rPr>
              <w:t>Regions with low volume centres should ensure that these centres comply fully with the data entry requirements of the audit. Reasons for the low level of activity should be understood and decisions made about how centres can reach the desired standards.</w:t>
            </w:r>
          </w:p>
          <w:p w14:paraId="36DAFBED" w14:textId="77777777" w:rsidR="0099267D" w:rsidRPr="0099267D" w:rsidRDefault="0099267D" w:rsidP="0099267D">
            <w:pPr>
              <w:ind w:left="35"/>
              <w:rPr>
                <w:rFonts w:asciiTheme="minorHAnsi" w:hAnsiTheme="minorHAnsi"/>
                <w:iCs/>
                <w:color w:val="000000" w:themeColor="text1"/>
              </w:rPr>
            </w:pPr>
          </w:p>
          <w:p w14:paraId="09FF89F1" w14:textId="77777777" w:rsidR="0099267D" w:rsidRPr="0099267D" w:rsidRDefault="0099267D" w:rsidP="0099267D">
            <w:pPr>
              <w:ind w:left="35"/>
              <w:rPr>
                <w:rFonts w:asciiTheme="minorHAnsi" w:hAnsiTheme="minorHAnsi"/>
                <w:color w:val="000000" w:themeColor="text1"/>
              </w:rPr>
            </w:pPr>
            <w:r w:rsidRPr="0099267D">
              <w:rPr>
                <w:rFonts w:asciiTheme="minorHAnsi" w:hAnsiTheme="minorHAnsi"/>
                <w:color w:val="000000" w:themeColor="text1"/>
              </w:rPr>
              <w:t>Hospitals with low volume operators should ensure accurate documentation of who performs procedures and ensure job plans and decisions about sub-specialisation are reviewed.</w:t>
            </w:r>
          </w:p>
          <w:p w14:paraId="5718D05C" w14:textId="0769A3C9" w:rsidR="00066F68" w:rsidRPr="00066F68" w:rsidRDefault="00066F68" w:rsidP="00FC3D9F">
            <w:pPr>
              <w:rPr>
                <w:rFonts w:cs="Calibri"/>
                <w:color w:val="FF0000"/>
              </w:rPr>
            </w:pPr>
          </w:p>
        </w:tc>
        <w:tc>
          <w:tcPr>
            <w:tcW w:w="0" w:type="auto"/>
            <w:shd w:val="clear" w:color="auto" w:fill="auto"/>
          </w:tcPr>
          <w:p w14:paraId="35F1C82C" w14:textId="77777777" w:rsidR="0099267D" w:rsidRDefault="0099267D" w:rsidP="00066F68">
            <w:pPr>
              <w:spacing w:after="0" w:line="240" w:lineRule="auto"/>
              <w:rPr>
                <w:rFonts w:cs="Calibri"/>
              </w:rPr>
            </w:pPr>
            <w:r>
              <w:rPr>
                <w:rFonts w:cs="Calibri"/>
              </w:rPr>
              <w:t>NACRM report:</w:t>
            </w:r>
          </w:p>
          <w:p w14:paraId="638CB2D8" w14:textId="7BA0D821" w:rsidR="0099267D" w:rsidRDefault="0099267D" w:rsidP="00066F68">
            <w:pPr>
              <w:spacing w:after="0" w:line="240" w:lineRule="auto"/>
              <w:rPr>
                <w:rFonts w:cs="Calibri"/>
              </w:rPr>
            </w:pPr>
            <w:r>
              <w:rPr>
                <w:rFonts w:cs="Calibri"/>
              </w:rPr>
              <w:t>Pages 1</w:t>
            </w:r>
            <w:r w:rsidR="0047308D">
              <w:rPr>
                <w:rFonts w:cs="Calibri"/>
              </w:rPr>
              <w:t xml:space="preserve">2 – 15 </w:t>
            </w:r>
          </w:p>
          <w:p w14:paraId="0C524D5A" w14:textId="77777777" w:rsidR="0099267D" w:rsidRDefault="0099267D" w:rsidP="00066F68">
            <w:pPr>
              <w:spacing w:after="0" w:line="240" w:lineRule="auto"/>
              <w:rPr>
                <w:rFonts w:cs="Calibri"/>
              </w:rPr>
            </w:pPr>
          </w:p>
          <w:p w14:paraId="00C035C6" w14:textId="4A32E3A6" w:rsidR="0099267D" w:rsidRDefault="0099267D" w:rsidP="0099267D">
            <w:pPr>
              <w:spacing w:after="0" w:line="240" w:lineRule="auto"/>
              <w:rPr>
                <w:rFonts w:asciiTheme="minorHAnsi" w:hAnsiTheme="minorHAnsi"/>
              </w:rPr>
            </w:pPr>
            <w:r w:rsidRPr="004A55A9">
              <w:rPr>
                <w:rFonts w:asciiTheme="minorHAnsi" w:hAnsiTheme="minorHAnsi"/>
              </w:rPr>
              <w:t xml:space="preserve">48 hospitals failed to meet the standard of 80 </w:t>
            </w:r>
            <w:r>
              <w:rPr>
                <w:rFonts w:asciiTheme="minorHAnsi" w:hAnsiTheme="minorHAnsi"/>
              </w:rPr>
              <w:t xml:space="preserve">PM </w:t>
            </w:r>
            <w:r w:rsidRPr="004A55A9">
              <w:rPr>
                <w:rFonts w:asciiTheme="minorHAnsi" w:hAnsiTheme="minorHAnsi"/>
              </w:rPr>
              <w:t>implants, of which 28 were NHS adult hospitals (half the number in 2014/</w:t>
            </w:r>
            <w:r>
              <w:rPr>
                <w:rFonts w:asciiTheme="minorHAnsi" w:hAnsiTheme="minorHAnsi"/>
              </w:rPr>
              <w:t>1</w:t>
            </w:r>
            <w:r w:rsidRPr="004A55A9">
              <w:rPr>
                <w:rFonts w:asciiTheme="minorHAnsi" w:hAnsiTheme="minorHAnsi"/>
              </w:rPr>
              <w:t xml:space="preserve">5).  </w:t>
            </w:r>
          </w:p>
          <w:p w14:paraId="1D5425D5" w14:textId="77777777" w:rsidR="0099267D" w:rsidRPr="0099267D" w:rsidRDefault="0099267D" w:rsidP="0099267D">
            <w:pPr>
              <w:spacing w:after="0" w:line="240" w:lineRule="auto"/>
              <w:rPr>
                <w:rFonts w:asciiTheme="minorHAnsi" w:hAnsiTheme="minorHAnsi"/>
              </w:rPr>
            </w:pPr>
          </w:p>
          <w:p w14:paraId="38174830" w14:textId="77777777" w:rsidR="0099267D" w:rsidRDefault="0099267D" w:rsidP="0099267D">
            <w:pPr>
              <w:rPr>
                <w:rFonts w:asciiTheme="minorHAnsi" w:hAnsiTheme="minorHAnsi"/>
                <w:color w:val="000000" w:themeColor="text1"/>
              </w:rPr>
            </w:pPr>
            <w:r w:rsidRPr="004A55A9">
              <w:rPr>
                <w:rFonts w:asciiTheme="minorHAnsi" w:hAnsiTheme="minorHAnsi"/>
                <w:color w:val="000000" w:themeColor="text1"/>
              </w:rPr>
              <w:t xml:space="preserve">58 hospitals failed to meet the standard of 60 </w:t>
            </w:r>
            <w:r>
              <w:rPr>
                <w:rFonts w:asciiTheme="minorHAnsi" w:hAnsiTheme="minorHAnsi"/>
                <w:color w:val="000000" w:themeColor="text1"/>
              </w:rPr>
              <w:t xml:space="preserve">complex </w:t>
            </w:r>
            <w:r w:rsidRPr="004A55A9">
              <w:rPr>
                <w:rFonts w:asciiTheme="minorHAnsi" w:hAnsiTheme="minorHAnsi"/>
                <w:color w:val="000000" w:themeColor="text1"/>
              </w:rPr>
              <w:t>implants/upgrades, of which 38 were NHS adult hospitals (this was 60 in 2014/</w:t>
            </w:r>
            <w:r>
              <w:rPr>
                <w:rFonts w:asciiTheme="minorHAnsi" w:hAnsiTheme="minorHAnsi"/>
                <w:color w:val="000000" w:themeColor="text1"/>
              </w:rPr>
              <w:t>1</w:t>
            </w:r>
            <w:r w:rsidRPr="004A55A9">
              <w:rPr>
                <w:rFonts w:asciiTheme="minorHAnsi" w:hAnsiTheme="minorHAnsi"/>
                <w:color w:val="000000" w:themeColor="text1"/>
              </w:rPr>
              <w:t>5</w:t>
            </w:r>
          </w:p>
          <w:p w14:paraId="6DFE4D7C" w14:textId="5BF58D89" w:rsidR="0099267D" w:rsidRPr="00066F68" w:rsidRDefault="0099267D" w:rsidP="0099267D">
            <w:pPr>
              <w:rPr>
                <w:rFonts w:cs="Calibri"/>
              </w:rPr>
            </w:pPr>
            <w:r w:rsidRPr="004A55A9">
              <w:rPr>
                <w:rFonts w:asciiTheme="minorHAnsi" w:hAnsiTheme="minorHAnsi"/>
                <w:color w:val="000000" w:themeColor="text1"/>
              </w:rPr>
              <w:t>17 hospitals failed to document meeting the standard of 100</w:t>
            </w:r>
            <w:r>
              <w:rPr>
                <w:rFonts w:asciiTheme="minorHAnsi" w:hAnsiTheme="minorHAnsi"/>
                <w:color w:val="000000" w:themeColor="text1"/>
              </w:rPr>
              <w:t xml:space="preserve"> </w:t>
            </w:r>
            <w:r w:rsidRPr="004A55A9">
              <w:rPr>
                <w:rFonts w:asciiTheme="minorHAnsi" w:hAnsiTheme="minorHAnsi"/>
                <w:color w:val="000000" w:themeColor="text1"/>
              </w:rPr>
              <w:t xml:space="preserve">ablations/year, of which 8 were NHS adult hospitals.  </w:t>
            </w:r>
          </w:p>
        </w:tc>
        <w:tc>
          <w:tcPr>
            <w:tcW w:w="0" w:type="auto"/>
            <w:gridSpan w:val="2"/>
            <w:shd w:val="clear" w:color="auto" w:fill="auto"/>
          </w:tcPr>
          <w:p w14:paraId="58FA6490" w14:textId="77777777" w:rsidR="00066F68" w:rsidRDefault="00066F68" w:rsidP="00C7466A">
            <w:pPr>
              <w:spacing w:after="0" w:line="240" w:lineRule="auto"/>
              <w:rPr>
                <w:rFonts w:cs="Calibri"/>
              </w:rPr>
            </w:pPr>
            <w:r w:rsidRPr="00066F68">
              <w:rPr>
                <w:rFonts w:cs="Calibri"/>
              </w:rPr>
              <w:t>Quality Standard 1 (Pacemaker Implants): BHRS Standards (2015) recommend that pacing centres undertake a minimum of 80 pacemaker implants per year (this was 60 in the 2013 Standard). Training centres should conduct &gt; 105 implants per year.</w:t>
            </w:r>
          </w:p>
          <w:p w14:paraId="69B6886C" w14:textId="77777777" w:rsidR="00066F68" w:rsidRDefault="00066F68" w:rsidP="00C7466A">
            <w:pPr>
              <w:spacing w:after="0" w:line="240" w:lineRule="auto"/>
              <w:rPr>
                <w:rFonts w:cs="Calibri"/>
              </w:rPr>
            </w:pPr>
          </w:p>
          <w:p w14:paraId="6C81879C" w14:textId="77777777" w:rsidR="00066F68" w:rsidRDefault="00066F68" w:rsidP="00C7466A">
            <w:pPr>
              <w:spacing w:after="0" w:line="240" w:lineRule="auto"/>
              <w:rPr>
                <w:rFonts w:cs="Calibri"/>
              </w:rPr>
            </w:pPr>
            <w:r w:rsidRPr="00066F68">
              <w:rPr>
                <w:rFonts w:cs="Calibri"/>
              </w:rPr>
              <w:t>Quality Standard 2 (Complex device Implants) BHRS Standards (2015) recommend that complex device centres undertake a minimum of 60 such procedures (ICD and CRT implant/upgrades) per year.</w:t>
            </w:r>
          </w:p>
          <w:p w14:paraId="664021EF" w14:textId="77777777" w:rsidR="00066F68" w:rsidRDefault="00066F68" w:rsidP="00C7466A">
            <w:pPr>
              <w:spacing w:after="0" w:line="240" w:lineRule="auto"/>
              <w:rPr>
                <w:rFonts w:cs="Calibri"/>
              </w:rPr>
            </w:pPr>
          </w:p>
          <w:p w14:paraId="1F6623BE" w14:textId="77777777" w:rsidR="00066F68" w:rsidRPr="00066F68" w:rsidRDefault="00066F68" w:rsidP="00066F68">
            <w:pPr>
              <w:rPr>
                <w:rFonts w:cs="Calibri"/>
              </w:rPr>
            </w:pPr>
            <w:r w:rsidRPr="00066F68">
              <w:rPr>
                <w:rFonts w:cs="Calibri"/>
              </w:rPr>
              <w:t>Quality Standard 3 (Catheter ablation): BHRS Standards (2016) recommend that ablation centres undertake a minimum of 100 ablation procedures per year in total.</w:t>
            </w:r>
          </w:p>
          <w:p w14:paraId="424C2FAC" w14:textId="75658993" w:rsidR="00066F68" w:rsidRDefault="00066F68" w:rsidP="00C7466A">
            <w:pPr>
              <w:spacing w:after="0" w:line="240" w:lineRule="auto"/>
              <w:rPr>
                <w:rFonts w:cs="Calibri"/>
              </w:rPr>
            </w:pPr>
            <w:r w:rsidRPr="00066F68">
              <w:rPr>
                <w:rFonts w:cs="Calibri"/>
              </w:rPr>
              <w:t>Quality Standard 4 (complex/AF ablation): BHRS Standards (2016) recommend that centres undertaking AF ablation should perform a minimum of 50 such cases per year.</w:t>
            </w:r>
          </w:p>
          <w:p w14:paraId="1000D8DD" w14:textId="0A0DA1DD" w:rsidR="00066F68" w:rsidRDefault="00066F68" w:rsidP="00C7466A">
            <w:pPr>
              <w:spacing w:after="0" w:line="240" w:lineRule="auto"/>
              <w:rPr>
                <w:rFonts w:cs="Calibri"/>
              </w:rPr>
            </w:pPr>
          </w:p>
          <w:p w14:paraId="4807607B" w14:textId="4BEC702C" w:rsidR="00066F68" w:rsidRDefault="00066F68" w:rsidP="00C7466A">
            <w:pPr>
              <w:spacing w:after="0" w:line="240" w:lineRule="auto"/>
              <w:rPr>
                <w:rFonts w:cs="Calibri"/>
              </w:rPr>
            </w:pPr>
            <w:r w:rsidRPr="00066F68">
              <w:rPr>
                <w:rFonts w:cs="Calibri"/>
              </w:rPr>
              <w:t>https://bhrs.com/wp-content/uploads/2020/02/BHRS-CIED-FU-Standards-FEB-2020-FINAL-1.pdf</w:t>
            </w:r>
          </w:p>
          <w:p w14:paraId="15E583BE" w14:textId="64E871E5" w:rsidR="008E19FC" w:rsidRPr="008E19FC" w:rsidRDefault="008E19FC" w:rsidP="008E19FC">
            <w:pPr>
              <w:pStyle w:val="Heading4"/>
              <w:tabs>
                <w:tab w:val="left" w:pos="317"/>
              </w:tabs>
              <w:ind w:left="41" w:firstLine="1"/>
              <w:rPr>
                <w:rFonts w:asciiTheme="minorHAnsi" w:hAnsiTheme="minorHAnsi"/>
                <w:b w:val="0"/>
                <w:bCs w:val="0"/>
                <w:i w:val="0"/>
                <w:color w:val="auto"/>
              </w:rPr>
            </w:pPr>
            <w:r w:rsidRPr="008E19FC">
              <w:rPr>
                <w:rFonts w:asciiTheme="minorHAnsi" w:hAnsiTheme="minorHAnsi"/>
                <w:b w:val="0"/>
                <w:i w:val="0"/>
                <w:color w:val="auto"/>
              </w:rPr>
              <w:t xml:space="preserve">Quality Standard 5: The minimum volume for an implanting specialist is 35 total new devices per year; for those undertaking complex implants/upgrades the recommendation is at least 30 such procedures within a total of 60 device </w:t>
            </w:r>
            <w:r w:rsidRPr="008E19FC">
              <w:rPr>
                <w:rFonts w:asciiTheme="minorHAnsi" w:hAnsiTheme="minorHAnsi"/>
                <w:b w:val="0"/>
                <w:i w:val="0"/>
                <w:color w:val="auto"/>
              </w:rPr>
              <w:lastRenderedPageBreak/>
              <w:t>implants.</w:t>
            </w:r>
          </w:p>
          <w:p w14:paraId="755139A0" w14:textId="4AC0E39A" w:rsidR="008E19FC" w:rsidRPr="008E19FC" w:rsidRDefault="008E19FC" w:rsidP="008E19FC">
            <w:pPr>
              <w:pStyle w:val="Heading4"/>
              <w:tabs>
                <w:tab w:val="left" w:pos="317"/>
              </w:tabs>
              <w:ind w:left="41" w:firstLine="1"/>
              <w:rPr>
                <w:rFonts w:asciiTheme="minorHAnsi" w:eastAsia="Times New Roman" w:hAnsiTheme="minorHAnsi"/>
                <w:b w:val="0"/>
                <w:bCs w:val="0"/>
                <w:i w:val="0"/>
                <w:color w:val="auto"/>
              </w:rPr>
            </w:pPr>
            <w:r w:rsidRPr="008E19FC">
              <w:rPr>
                <w:rFonts w:asciiTheme="minorHAnsi" w:hAnsiTheme="minorHAnsi"/>
                <w:b w:val="0"/>
                <w:i w:val="0"/>
                <w:color w:val="auto"/>
              </w:rPr>
              <w:t>Quality Standard 6: I</w:t>
            </w:r>
            <w:r w:rsidRPr="008E19FC">
              <w:rPr>
                <w:rFonts w:asciiTheme="minorHAnsi" w:eastAsia="Times New Roman" w:hAnsiTheme="minorHAnsi"/>
                <w:b w:val="0"/>
                <w:i w:val="0"/>
                <w:color w:val="auto"/>
              </w:rPr>
              <w:t>nterventional electrophysiologists undertaking catheter ablation should perform at least 50 procedures per year; for those undertaking complex procedures (generally AF ablations) the recommendation is at least 25 such procedures within this total; while ≥50 complex procedures is desirable.</w:t>
            </w:r>
          </w:p>
          <w:p w14:paraId="4FEF75BF" w14:textId="7FCDAA07" w:rsidR="00066F68" w:rsidRDefault="00066F68" w:rsidP="00C7466A">
            <w:pPr>
              <w:spacing w:after="0" w:line="240" w:lineRule="auto"/>
              <w:rPr>
                <w:rFonts w:cs="Calibri"/>
              </w:rPr>
            </w:pPr>
          </w:p>
        </w:tc>
        <w:tc>
          <w:tcPr>
            <w:tcW w:w="0" w:type="auto"/>
            <w:shd w:val="clear" w:color="auto" w:fill="auto"/>
          </w:tcPr>
          <w:p w14:paraId="30850936" w14:textId="38DDD247" w:rsidR="00066F68" w:rsidRPr="00C7466A" w:rsidRDefault="0099267D" w:rsidP="00C7466A">
            <w:pPr>
              <w:spacing w:after="0" w:line="240" w:lineRule="auto"/>
              <w:rPr>
                <w:rFonts w:cs="Calibri"/>
              </w:rPr>
            </w:pPr>
            <w:r>
              <w:rPr>
                <w:rFonts w:cs="Calibri"/>
              </w:rPr>
              <w:lastRenderedPageBreak/>
              <w:t>N/A</w:t>
            </w:r>
          </w:p>
        </w:tc>
        <w:tc>
          <w:tcPr>
            <w:tcW w:w="0" w:type="auto"/>
            <w:shd w:val="clear" w:color="auto" w:fill="auto"/>
          </w:tcPr>
          <w:p w14:paraId="7ABF3AE0" w14:textId="56D33A84" w:rsidR="00066F68" w:rsidRDefault="00066F68" w:rsidP="00374AFE">
            <w:pPr>
              <w:spacing w:after="0" w:line="240" w:lineRule="auto"/>
              <w:rPr>
                <w:rFonts w:cs="Calibri"/>
              </w:rPr>
            </w:pPr>
            <w:r w:rsidRPr="00066F68">
              <w:rPr>
                <w:rFonts w:cs="Calibri"/>
              </w:rPr>
              <w:t>BHRS Standards</w:t>
            </w:r>
          </w:p>
        </w:tc>
        <w:tc>
          <w:tcPr>
            <w:tcW w:w="0" w:type="auto"/>
            <w:shd w:val="clear" w:color="auto" w:fill="auto"/>
          </w:tcPr>
          <w:p w14:paraId="0AF14F1C" w14:textId="77777777" w:rsidR="00066F68" w:rsidRDefault="0099267D" w:rsidP="00066F68">
            <w:pPr>
              <w:spacing w:after="0" w:line="240" w:lineRule="auto"/>
              <w:rPr>
                <w:rFonts w:cs="Calibri"/>
              </w:rPr>
            </w:pPr>
            <w:r w:rsidRPr="0099267D">
              <w:rPr>
                <w:rFonts w:cs="Calibri"/>
              </w:rPr>
              <w:t>There are fewer lower volume centres but still a number of NHS hospitals that do not meet the standards</w:t>
            </w:r>
          </w:p>
          <w:p w14:paraId="667497E5" w14:textId="77777777" w:rsidR="000704DC" w:rsidRDefault="000704DC" w:rsidP="00066F68">
            <w:pPr>
              <w:spacing w:after="0" w:line="240" w:lineRule="auto"/>
              <w:rPr>
                <w:rFonts w:cs="Calibri"/>
              </w:rPr>
            </w:pPr>
          </w:p>
          <w:p w14:paraId="1542908C" w14:textId="21F42B46" w:rsidR="000704DC" w:rsidRPr="0099267D" w:rsidRDefault="000704DC" w:rsidP="00066F68">
            <w:pPr>
              <w:spacing w:after="0" w:line="240" w:lineRule="auto"/>
              <w:rPr>
                <w:rFonts w:cs="Calibri"/>
              </w:rPr>
            </w:pPr>
            <w:r>
              <w:rPr>
                <w:rFonts w:cs="Calibri"/>
              </w:rPr>
              <w:t>Many operators do not meet the current implant standards</w:t>
            </w:r>
          </w:p>
        </w:tc>
      </w:tr>
      <w:tr w:rsidR="006259E7" w:rsidRPr="00C7466A" w14:paraId="271CC0BD" w14:textId="77777777" w:rsidTr="00C7466A">
        <w:tc>
          <w:tcPr>
            <w:tcW w:w="816" w:type="dxa"/>
            <w:shd w:val="clear" w:color="auto" w:fill="auto"/>
          </w:tcPr>
          <w:p w14:paraId="0FA4412E" w14:textId="27B60108" w:rsidR="00431444" w:rsidRPr="00C7466A" w:rsidRDefault="00566815" w:rsidP="00C7466A">
            <w:pPr>
              <w:spacing w:after="0" w:line="240" w:lineRule="auto"/>
              <w:rPr>
                <w:rFonts w:cs="Calibri"/>
              </w:rPr>
            </w:pPr>
            <w:r w:rsidRPr="00C7466A">
              <w:rPr>
                <w:rFonts w:cs="Calibri"/>
              </w:rPr>
              <w:lastRenderedPageBreak/>
              <w:t>Rec</w:t>
            </w:r>
            <w:r w:rsidR="00BF4322" w:rsidRPr="00C7466A">
              <w:rPr>
                <w:rFonts w:cs="Calibri"/>
              </w:rPr>
              <w:t xml:space="preserve"> </w:t>
            </w:r>
            <w:r w:rsidR="00066F68">
              <w:rPr>
                <w:rFonts w:cs="Calibri"/>
              </w:rPr>
              <w:t>2</w:t>
            </w:r>
          </w:p>
        </w:tc>
        <w:tc>
          <w:tcPr>
            <w:tcW w:w="3390" w:type="dxa"/>
            <w:shd w:val="clear" w:color="auto" w:fill="auto"/>
          </w:tcPr>
          <w:p w14:paraId="5C42A5CA" w14:textId="77777777" w:rsidR="0099267D" w:rsidRPr="0099267D" w:rsidRDefault="0099267D" w:rsidP="0099267D">
            <w:pPr>
              <w:pStyle w:val="Heading3"/>
              <w:ind w:left="35"/>
              <w:rPr>
                <w:rFonts w:asciiTheme="minorHAnsi" w:hAnsiTheme="minorHAnsi" w:cstheme="minorHAnsi"/>
                <w:color w:val="000000" w:themeColor="text1"/>
                <w:sz w:val="22"/>
                <w:szCs w:val="22"/>
              </w:rPr>
            </w:pPr>
            <w:bookmarkStart w:id="1" w:name="_Toc51261499"/>
            <w:r w:rsidRPr="0099267D">
              <w:rPr>
                <w:rFonts w:asciiTheme="minorHAnsi" w:hAnsiTheme="minorHAnsi" w:cstheme="minorHAnsi"/>
                <w:color w:val="000000" w:themeColor="text1"/>
                <w:sz w:val="22"/>
                <w:szCs w:val="22"/>
              </w:rPr>
              <w:t>Hospitals with poor data compliance should ensure all members of the local CRM team comply with the requirements of the national audit dataset. Local training on the importance of each data field may be required.</w:t>
            </w:r>
            <w:bookmarkEnd w:id="1"/>
          </w:p>
          <w:p w14:paraId="0C19AFF5" w14:textId="77777777" w:rsidR="0099267D" w:rsidRPr="0099267D" w:rsidRDefault="0099267D" w:rsidP="00FC3D9F">
            <w:pPr>
              <w:rPr>
                <w:rFonts w:cs="Calibri"/>
                <w:color w:val="000000" w:themeColor="text1"/>
              </w:rPr>
            </w:pPr>
          </w:p>
          <w:p w14:paraId="50801216" w14:textId="77777777" w:rsidR="0099267D" w:rsidRDefault="0099267D" w:rsidP="00FC3D9F">
            <w:pPr>
              <w:rPr>
                <w:rFonts w:cs="Calibri"/>
              </w:rPr>
            </w:pPr>
          </w:p>
          <w:p w14:paraId="537718A9" w14:textId="77777777" w:rsidR="00B40CA2" w:rsidRPr="00FC3D9F" w:rsidRDefault="00B40CA2" w:rsidP="00FC3D9F">
            <w:pPr>
              <w:rPr>
                <w:rFonts w:cs="Calibri"/>
              </w:rPr>
            </w:pPr>
          </w:p>
          <w:p w14:paraId="636BB2FB" w14:textId="03F76DD5" w:rsidR="00431444" w:rsidRPr="00C7466A" w:rsidRDefault="00431444" w:rsidP="00C7466A">
            <w:pPr>
              <w:spacing w:after="0" w:line="240" w:lineRule="auto"/>
              <w:rPr>
                <w:rFonts w:cs="Calibri"/>
              </w:rPr>
            </w:pPr>
          </w:p>
        </w:tc>
        <w:tc>
          <w:tcPr>
            <w:tcW w:w="0" w:type="auto"/>
            <w:shd w:val="clear" w:color="auto" w:fill="auto"/>
          </w:tcPr>
          <w:p w14:paraId="1450A98D" w14:textId="77777777" w:rsidR="008E19FC" w:rsidRDefault="008E19FC" w:rsidP="008E19FC">
            <w:pPr>
              <w:pStyle w:val="ListParagraph"/>
              <w:spacing w:after="0" w:line="240" w:lineRule="auto"/>
              <w:ind w:left="47"/>
              <w:rPr>
                <w:rFonts w:cs="Calibri"/>
              </w:rPr>
            </w:pPr>
            <w:r>
              <w:rPr>
                <w:rFonts w:cs="Calibri"/>
              </w:rPr>
              <w:t>NACRM report:</w:t>
            </w:r>
          </w:p>
          <w:p w14:paraId="144DEAD4" w14:textId="72F6D78A" w:rsidR="008E19FC" w:rsidRDefault="008E19FC" w:rsidP="008E19FC">
            <w:pPr>
              <w:pStyle w:val="ListParagraph"/>
              <w:spacing w:after="0" w:line="240" w:lineRule="auto"/>
              <w:ind w:left="47"/>
              <w:rPr>
                <w:rFonts w:cs="Calibri"/>
              </w:rPr>
            </w:pPr>
            <w:r>
              <w:rPr>
                <w:rFonts w:cs="Calibri"/>
              </w:rPr>
              <w:t xml:space="preserve">Pages </w:t>
            </w:r>
            <w:r w:rsidR="0047308D">
              <w:rPr>
                <w:rFonts w:cs="Calibri"/>
              </w:rPr>
              <w:t xml:space="preserve">16 – 19 </w:t>
            </w:r>
          </w:p>
          <w:p w14:paraId="2DCD6434" w14:textId="6EDAA6AF" w:rsidR="00431444" w:rsidRPr="00C7466A" w:rsidRDefault="00431444" w:rsidP="008E19FC">
            <w:pPr>
              <w:pStyle w:val="ListParagraph"/>
              <w:spacing w:after="0" w:line="240" w:lineRule="auto"/>
              <w:ind w:left="47"/>
              <w:rPr>
                <w:rFonts w:cs="Calibri"/>
              </w:rPr>
            </w:pPr>
          </w:p>
        </w:tc>
        <w:tc>
          <w:tcPr>
            <w:tcW w:w="0" w:type="auto"/>
            <w:gridSpan w:val="2"/>
            <w:shd w:val="clear" w:color="auto" w:fill="auto"/>
          </w:tcPr>
          <w:p w14:paraId="0CB4C967" w14:textId="77777777" w:rsidR="008E19FC" w:rsidRPr="000704DC" w:rsidRDefault="008E19FC" w:rsidP="000704DC">
            <w:pPr>
              <w:pStyle w:val="Heading4"/>
              <w:rPr>
                <w:rFonts w:asciiTheme="minorHAnsi" w:hAnsiTheme="minorHAnsi"/>
                <w:b w:val="0"/>
                <w:bCs w:val="0"/>
                <w:i w:val="0"/>
                <w:color w:val="auto"/>
              </w:rPr>
            </w:pPr>
            <w:r w:rsidRPr="000704DC">
              <w:rPr>
                <w:rFonts w:asciiTheme="minorHAnsi" w:hAnsiTheme="minorHAnsi"/>
                <w:b w:val="0"/>
                <w:i w:val="0"/>
                <w:color w:val="auto"/>
              </w:rPr>
              <w:t>Quality Standard 7: Centres should achieve ≥90% completeness in each of 6 data domains for device and ablation procedures</w:t>
            </w:r>
          </w:p>
          <w:p w14:paraId="0B5CE745" w14:textId="77777777" w:rsidR="008E19FC" w:rsidRDefault="008E19FC" w:rsidP="000704DC">
            <w:pPr>
              <w:pStyle w:val="Heading4"/>
              <w:rPr>
                <w:rFonts w:asciiTheme="minorHAnsi" w:hAnsiTheme="minorHAnsi"/>
                <w:b w:val="0"/>
                <w:i w:val="0"/>
                <w:color w:val="auto"/>
              </w:rPr>
            </w:pPr>
            <w:r w:rsidRPr="000704DC">
              <w:rPr>
                <w:rFonts w:asciiTheme="minorHAnsi" w:hAnsiTheme="minorHAnsi"/>
                <w:b w:val="0"/>
                <w:i w:val="0"/>
                <w:color w:val="auto"/>
              </w:rPr>
              <w:t>Quality Standard 8: Centres should achieve ≥90% validity in each of 2 data domains for device and ablation procedures.</w:t>
            </w:r>
          </w:p>
          <w:p w14:paraId="2F2CD24E" w14:textId="77777777" w:rsidR="000704DC" w:rsidRPr="000704DC" w:rsidRDefault="000704DC" w:rsidP="000704DC"/>
          <w:p w14:paraId="22509D25" w14:textId="77777777" w:rsidR="00431444" w:rsidRPr="000704DC" w:rsidRDefault="008E19FC" w:rsidP="000704DC">
            <w:pPr>
              <w:spacing w:after="0" w:line="240" w:lineRule="auto"/>
              <w:rPr>
                <w:rFonts w:asciiTheme="minorHAnsi" w:hAnsiTheme="minorHAnsi"/>
                <w:bCs/>
              </w:rPr>
            </w:pPr>
            <w:r w:rsidRPr="000704DC">
              <w:rPr>
                <w:rFonts w:asciiTheme="minorHAnsi" w:hAnsiTheme="minorHAnsi"/>
                <w:bCs/>
              </w:rPr>
              <w:t>Quality Standard 9 (pacing for sinus node disease in the absence of atrial fibrillation): 90% of pacemaker implants should be dual chamber</w:t>
            </w:r>
          </w:p>
          <w:p w14:paraId="27BD3650" w14:textId="77777777" w:rsidR="008E19FC" w:rsidRPr="000704DC" w:rsidRDefault="008E19FC" w:rsidP="000704DC">
            <w:pPr>
              <w:pStyle w:val="Heading4"/>
              <w:rPr>
                <w:rFonts w:asciiTheme="minorHAnsi" w:hAnsiTheme="minorHAnsi"/>
                <w:b w:val="0"/>
                <w:bCs w:val="0"/>
                <w:i w:val="0"/>
                <w:color w:val="auto"/>
              </w:rPr>
            </w:pPr>
            <w:r w:rsidRPr="000704DC">
              <w:rPr>
                <w:rFonts w:asciiTheme="minorHAnsi" w:hAnsiTheme="minorHAnsi"/>
                <w:b w:val="0"/>
                <w:i w:val="0"/>
                <w:color w:val="auto"/>
              </w:rPr>
              <w:t xml:space="preserve">Quality Standard </w:t>
            </w:r>
            <w:r w:rsidRPr="000704DC">
              <w:rPr>
                <w:rFonts w:asciiTheme="minorHAnsi" w:hAnsiTheme="minorHAnsi"/>
                <w:b w:val="0"/>
                <w:bCs w:val="0"/>
                <w:i w:val="0"/>
                <w:color w:val="auto"/>
              </w:rPr>
              <w:t>10</w:t>
            </w:r>
            <w:r w:rsidRPr="000704DC">
              <w:rPr>
                <w:rFonts w:asciiTheme="minorHAnsi" w:hAnsiTheme="minorHAnsi"/>
                <w:b w:val="0"/>
                <w:i w:val="0"/>
                <w:color w:val="auto"/>
              </w:rPr>
              <w:t xml:space="preserve"> (pacing for atrioventricular block in the absence of atrial fibrillation): 90% of pacemaker implants should be dual chamber.</w:t>
            </w:r>
          </w:p>
          <w:p w14:paraId="32BCE732" w14:textId="6A3C919E" w:rsidR="008E19FC" w:rsidRPr="000704DC" w:rsidRDefault="008E19FC" w:rsidP="000704DC">
            <w:pPr>
              <w:pStyle w:val="Heading4"/>
              <w:rPr>
                <w:rFonts w:asciiTheme="minorHAnsi" w:hAnsiTheme="minorHAnsi"/>
                <w:b w:val="0"/>
                <w:i w:val="0"/>
                <w:color w:val="auto"/>
              </w:rPr>
            </w:pPr>
            <w:r w:rsidRPr="000704DC">
              <w:rPr>
                <w:rFonts w:asciiTheme="minorHAnsi" w:hAnsiTheme="minorHAnsi"/>
                <w:b w:val="0"/>
                <w:i w:val="0"/>
                <w:color w:val="auto"/>
              </w:rPr>
              <w:t>Quality standard 11: 80% of ICD implants for primary prevention should be documented to meet at least one of the NICE criteria</w:t>
            </w:r>
          </w:p>
          <w:p w14:paraId="349CAC30" w14:textId="763FDAD7" w:rsidR="008E19FC" w:rsidRPr="000704DC" w:rsidRDefault="008E19FC" w:rsidP="000704DC">
            <w:pPr>
              <w:pStyle w:val="Heading4"/>
              <w:rPr>
                <w:rFonts w:asciiTheme="minorHAnsi" w:hAnsiTheme="minorHAnsi"/>
                <w:b w:val="0"/>
                <w:bCs w:val="0"/>
                <w:i w:val="0"/>
                <w:color w:val="auto"/>
              </w:rPr>
            </w:pPr>
            <w:r w:rsidRPr="000704DC">
              <w:rPr>
                <w:rFonts w:asciiTheme="minorHAnsi" w:hAnsiTheme="minorHAnsi"/>
                <w:b w:val="0"/>
                <w:i w:val="0"/>
                <w:color w:val="auto"/>
              </w:rPr>
              <w:t xml:space="preserve">Quality standard </w:t>
            </w:r>
            <w:r w:rsidRPr="000704DC">
              <w:rPr>
                <w:rFonts w:asciiTheme="minorHAnsi" w:hAnsiTheme="minorHAnsi"/>
                <w:b w:val="0"/>
                <w:bCs w:val="0"/>
                <w:i w:val="0"/>
                <w:color w:val="auto"/>
              </w:rPr>
              <w:t>12</w:t>
            </w:r>
            <w:r w:rsidRPr="000704DC">
              <w:rPr>
                <w:rFonts w:asciiTheme="minorHAnsi" w:hAnsiTheme="minorHAnsi"/>
                <w:b w:val="0"/>
                <w:i w:val="0"/>
                <w:color w:val="auto"/>
              </w:rPr>
              <w:t xml:space="preserve">: 80% of ICD implants </w:t>
            </w:r>
            <w:r w:rsidRPr="000704DC">
              <w:rPr>
                <w:rFonts w:asciiTheme="minorHAnsi" w:hAnsiTheme="minorHAnsi"/>
                <w:b w:val="0"/>
                <w:i w:val="0"/>
                <w:color w:val="auto"/>
              </w:rPr>
              <w:lastRenderedPageBreak/>
              <w:t>for secondary prevention should be documented to meet at</w:t>
            </w:r>
            <w:r w:rsidR="000704DC">
              <w:rPr>
                <w:rFonts w:asciiTheme="minorHAnsi" w:hAnsiTheme="minorHAnsi"/>
                <w:b w:val="0"/>
                <w:i w:val="0"/>
                <w:color w:val="auto"/>
              </w:rPr>
              <w:t xml:space="preserve"> least one of the NICE criteria</w:t>
            </w:r>
          </w:p>
        </w:tc>
        <w:tc>
          <w:tcPr>
            <w:tcW w:w="0" w:type="auto"/>
            <w:shd w:val="clear" w:color="auto" w:fill="auto"/>
          </w:tcPr>
          <w:p w14:paraId="79867CDC" w14:textId="0ABB70FB" w:rsidR="00431444" w:rsidRPr="00C7466A" w:rsidRDefault="000704DC" w:rsidP="00C7466A">
            <w:pPr>
              <w:spacing w:after="0" w:line="240" w:lineRule="auto"/>
              <w:rPr>
                <w:rFonts w:cs="Calibri"/>
              </w:rPr>
            </w:pPr>
            <w:r>
              <w:rPr>
                <w:rFonts w:cs="Calibri"/>
              </w:rPr>
              <w:lastRenderedPageBreak/>
              <w:t>N/A</w:t>
            </w:r>
          </w:p>
        </w:tc>
        <w:tc>
          <w:tcPr>
            <w:tcW w:w="0" w:type="auto"/>
            <w:shd w:val="clear" w:color="auto" w:fill="auto"/>
          </w:tcPr>
          <w:p w14:paraId="53E9FEDC" w14:textId="77777777" w:rsidR="00BC1CB7" w:rsidRDefault="00374AFE" w:rsidP="00374AFE">
            <w:pPr>
              <w:spacing w:after="0" w:line="240" w:lineRule="auto"/>
              <w:rPr>
                <w:rFonts w:cs="Calibri"/>
              </w:rPr>
            </w:pPr>
            <w:r>
              <w:rPr>
                <w:rFonts w:cs="Calibri"/>
              </w:rPr>
              <w:t>BHRS Standards</w:t>
            </w:r>
          </w:p>
          <w:p w14:paraId="52E3282B" w14:textId="77777777" w:rsidR="000704DC" w:rsidRDefault="000704DC" w:rsidP="00374AFE">
            <w:pPr>
              <w:spacing w:after="0" w:line="240" w:lineRule="auto"/>
              <w:rPr>
                <w:rFonts w:cs="Calibri"/>
              </w:rPr>
            </w:pPr>
          </w:p>
          <w:p w14:paraId="6991E860" w14:textId="6F88E930" w:rsidR="000704DC" w:rsidRPr="00374AFE" w:rsidRDefault="000704DC" w:rsidP="00374AFE">
            <w:pPr>
              <w:spacing w:after="0" w:line="240" w:lineRule="auto"/>
              <w:rPr>
                <w:rFonts w:cs="Calibri"/>
              </w:rPr>
            </w:pPr>
            <w:r>
              <w:rPr>
                <w:rFonts w:cs="Calibri"/>
              </w:rPr>
              <w:t>NICE guidelines</w:t>
            </w:r>
          </w:p>
        </w:tc>
        <w:tc>
          <w:tcPr>
            <w:tcW w:w="0" w:type="auto"/>
            <w:shd w:val="clear" w:color="auto" w:fill="auto"/>
          </w:tcPr>
          <w:p w14:paraId="6B2EA6D0" w14:textId="77777777" w:rsidR="00431444" w:rsidRDefault="000704DC" w:rsidP="00C7466A">
            <w:pPr>
              <w:spacing w:after="0" w:line="240" w:lineRule="auto"/>
              <w:rPr>
                <w:rFonts w:cs="Calibri"/>
              </w:rPr>
            </w:pPr>
            <w:r>
              <w:rPr>
                <w:rFonts w:cs="Calibri"/>
              </w:rPr>
              <w:t>Overall, data completeness is improving but some data domains are still poorly completed.</w:t>
            </w:r>
          </w:p>
          <w:p w14:paraId="77C267C7" w14:textId="77777777" w:rsidR="000704DC" w:rsidRDefault="000704DC" w:rsidP="00C7466A">
            <w:pPr>
              <w:spacing w:after="0" w:line="240" w:lineRule="auto"/>
              <w:rPr>
                <w:rFonts w:cs="Calibri"/>
              </w:rPr>
            </w:pPr>
          </w:p>
          <w:p w14:paraId="3558B4CC" w14:textId="781444FC" w:rsidR="000704DC" w:rsidRPr="00C7466A" w:rsidRDefault="000704DC" w:rsidP="00C7466A">
            <w:pPr>
              <w:spacing w:after="0" w:line="240" w:lineRule="auto"/>
              <w:rPr>
                <w:rFonts w:cs="Calibri"/>
              </w:rPr>
            </w:pPr>
            <w:r>
              <w:rPr>
                <w:rFonts w:cs="Calibri"/>
              </w:rPr>
              <w:t>Compliance with indications for device implantation is improving</w:t>
            </w:r>
          </w:p>
        </w:tc>
      </w:tr>
      <w:tr w:rsidR="006259E7" w:rsidRPr="00C7466A" w14:paraId="77FF3435" w14:textId="77777777" w:rsidTr="00C7466A">
        <w:tc>
          <w:tcPr>
            <w:tcW w:w="816" w:type="dxa"/>
            <w:shd w:val="clear" w:color="auto" w:fill="auto"/>
          </w:tcPr>
          <w:p w14:paraId="0F675AF5" w14:textId="0C3692EC" w:rsidR="00374AFE" w:rsidRPr="000704DC" w:rsidRDefault="00374AFE" w:rsidP="00C7466A">
            <w:pPr>
              <w:spacing w:after="0" w:line="240" w:lineRule="auto"/>
              <w:rPr>
                <w:rFonts w:cs="Calibri"/>
              </w:rPr>
            </w:pPr>
            <w:r w:rsidRPr="000704DC">
              <w:rPr>
                <w:rFonts w:cs="Calibri"/>
              </w:rPr>
              <w:lastRenderedPageBreak/>
              <w:t xml:space="preserve">Rec </w:t>
            </w:r>
            <w:r w:rsidR="00066F68" w:rsidRPr="000704DC">
              <w:rPr>
                <w:rFonts w:cs="Calibri"/>
              </w:rPr>
              <w:t>3</w:t>
            </w:r>
          </w:p>
        </w:tc>
        <w:tc>
          <w:tcPr>
            <w:tcW w:w="3390" w:type="dxa"/>
            <w:shd w:val="clear" w:color="auto" w:fill="auto"/>
          </w:tcPr>
          <w:p w14:paraId="2D5F7760" w14:textId="77777777" w:rsidR="000704DC" w:rsidRPr="000704DC" w:rsidRDefault="000704DC" w:rsidP="000704DC">
            <w:pPr>
              <w:ind w:left="35"/>
              <w:rPr>
                <w:color w:val="000000" w:themeColor="text1"/>
              </w:rPr>
            </w:pPr>
            <w:r w:rsidRPr="000704DC">
              <w:rPr>
                <w:rFonts w:asciiTheme="minorHAnsi" w:hAnsiTheme="minorHAnsi"/>
                <w:color w:val="000000" w:themeColor="text1"/>
              </w:rPr>
              <w:t>Hospitals with high re-intervention rates following device implants should review their cases to examine the factors involved and to determine means by which these can be lowered.</w:t>
            </w:r>
          </w:p>
          <w:p w14:paraId="3CA775F4" w14:textId="77777777" w:rsidR="000704DC" w:rsidRPr="000704DC" w:rsidRDefault="000704DC" w:rsidP="005F5094">
            <w:pPr>
              <w:rPr>
                <w:rFonts w:cs="Calibri"/>
              </w:rPr>
            </w:pPr>
          </w:p>
          <w:p w14:paraId="0B1916A4" w14:textId="050A1CEB" w:rsidR="00374AFE" w:rsidRPr="000704DC" w:rsidRDefault="005F5094" w:rsidP="005F5094">
            <w:pPr>
              <w:rPr>
                <w:rFonts w:cs="Calibri"/>
                <w:color w:val="FF0000"/>
              </w:rPr>
            </w:pPr>
            <w:r w:rsidRPr="000704DC">
              <w:rPr>
                <w:rFonts w:cs="Calibri"/>
              </w:rPr>
              <w:t xml:space="preserve"> </w:t>
            </w:r>
          </w:p>
        </w:tc>
        <w:tc>
          <w:tcPr>
            <w:tcW w:w="0" w:type="auto"/>
            <w:shd w:val="clear" w:color="auto" w:fill="auto"/>
          </w:tcPr>
          <w:p w14:paraId="70041B7D" w14:textId="77777777" w:rsidR="000704DC" w:rsidRPr="000704DC" w:rsidRDefault="000704DC" w:rsidP="00AF0E0E">
            <w:pPr>
              <w:spacing w:after="0" w:line="240" w:lineRule="auto"/>
              <w:rPr>
                <w:rFonts w:cs="Calibri"/>
              </w:rPr>
            </w:pPr>
            <w:r w:rsidRPr="000704DC">
              <w:rPr>
                <w:rFonts w:cs="Calibri"/>
              </w:rPr>
              <w:t>NACRM report</w:t>
            </w:r>
          </w:p>
          <w:p w14:paraId="4BDD5779" w14:textId="3986C152" w:rsidR="000704DC" w:rsidRPr="000704DC" w:rsidRDefault="000704DC" w:rsidP="00AF0E0E">
            <w:pPr>
              <w:spacing w:after="0" w:line="240" w:lineRule="auto"/>
              <w:rPr>
                <w:rFonts w:cs="Calibri"/>
              </w:rPr>
            </w:pPr>
            <w:r w:rsidRPr="000704DC">
              <w:rPr>
                <w:rFonts w:cs="Calibri"/>
              </w:rPr>
              <w:t xml:space="preserve">Pages </w:t>
            </w:r>
            <w:r w:rsidR="00BD460E">
              <w:rPr>
                <w:rFonts w:cs="Calibri"/>
              </w:rPr>
              <w:t xml:space="preserve">21 – 22 </w:t>
            </w:r>
          </w:p>
          <w:p w14:paraId="689F8C7C" w14:textId="77777777" w:rsidR="000704DC" w:rsidRPr="000704DC" w:rsidRDefault="000704DC" w:rsidP="00AF0E0E">
            <w:pPr>
              <w:spacing w:after="0" w:line="240" w:lineRule="auto"/>
              <w:rPr>
                <w:rFonts w:cs="Calibri"/>
              </w:rPr>
            </w:pPr>
          </w:p>
          <w:p w14:paraId="5C863671" w14:textId="088D1D04" w:rsidR="00AF0E0E" w:rsidRPr="000704DC" w:rsidRDefault="00AF0E0E" w:rsidP="00AF0E0E">
            <w:pPr>
              <w:spacing w:after="0" w:line="240" w:lineRule="auto"/>
              <w:rPr>
                <w:rFonts w:cs="Calibri"/>
              </w:rPr>
            </w:pPr>
          </w:p>
        </w:tc>
        <w:tc>
          <w:tcPr>
            <w:tcW w:w="0" w:type="auto"/>
            <w:gridSpan w:val="2"/>
            <w:shd w:val="clear" w:color="auto" w:fill="auto"/>
          </w:tcPr>
          <w:p w14:paraId="23E374FA" w14:textId="289EE571" w:rsidR="00AF0E0E" w:rsidRPr="000704DC" w:rsidRDefault="000704DC" w:rsidP="000704DC">
            <w:pPr>
              <w:rPr>
                <w:rFonts w:cs="Calibri"/>
              </w:rPr>
            </w:pPr>
            <w:r w:rsidRPr="000704DC">
              <w:rPr>
                <w:rFonts w:cs="Calibri"/>
              </w:rPr>
              <w:t>No specific recommendations</w:t>
            </w:r>
          </w:p>
        </w:tc>
        <w:tc>
          <w:tcPr>
            <w:tcW w:w="0" w:type="auto"/>
            <w:shd w:val="clear" w:color="auto" w:fill="auto"/>
          </w:tcPr>
          <w:p w14:paraId="680B722F" w14:textId="72D4E25C" w:rsidR="00374AFE" w:rsidRPr="000704DC" w:rsidRDefault="000704DC" w:rsidP="00C7466A">
            <w:pPr>
              <w:spacing w:after="0" w:line="240" w:lineRule="auto"/>
              <w:rPr>
                <w:rFonts w:cs="Calibri"/>
                <w:color w:val="000000"/>
              </w:rPr>
            </w:pPr>
            <w:r w:rsidRPr="000704DC">
              <w:rPr>
                <w:rFonts w:cs="Calibri"/>
                <w:color w:val="000000"/>
              </w:rPr>
              <w:t>N/A</w:t>
            </w:r>
          </w:p>
        </w:tc>
        <w:tc>
          <w:tcPr>
            <w:tcW w:w="0" w:type="auto"/>
            <w:shd w:val="clear" w:color="auto" w:fill="auto"/>
          </w:tcPr>
          <w:p w14:paraId="1A286D56" w14:textId="6BFCDA1B" w:rsidR="00374AFE" w:rsidRPr="000704DC" w:rsidRDefault="000704DC" w:rsidP="00C7466A">
            <w:pPr>
              <w:spacing w:after="0" w:line="240" w:lineRule="auto"/>
              <w:rPr>
                <w:rFonts w:cs="Calibri"/>
                <w:iCs/>
              </w:rPr>
            </w:pPr>
            <w:r w:rsidRPr="000704DC">
              <w:rPr>
                <w:rFonts w:cs="Calibri"/>
                <w:iCs/>
              </w:rPr>
              <w:t>N/A</w:t>
            </w:r>
          </w:p>
        </w:tc>
        <w:tc>
          <w:tcPr>
            <w:tcW w:w="0" w:type="auto"/>
            <w:shd w:val="clear" w:color="auto" w:fill="auto"/>
          </w:tcPr>
          <w:p w14:paraId="1BF7442D" w14:textId="12E1DD76" w:rsidR="00374AFE" w:rsidRPr="000704DC" w:rsidRDefault="000704DC" w:rsidP="00C7466A">
            <w:pPr>
              <w:spacing w:after="0" w:line="240" w:lineRule="auto"/>
              <w:rPr>
                <w:rFonts w:cs="Calibri"/>
              </w:rPr>
            </w:pPr>
            <w:r w:rsidRPr="000704DC">
              <w:rPr>
                <w:rFonts w:asciiTheme="minorHAnsi" w:hAnsiTheme="minorHAnsi"/>
              </w:rPr>
              <w:t>Re-intervention rates in the year following first implants in 2017/18 of pacemakers and complex devices were 4.3% and 6.0% respectively.  These values are fairly stable and in line with published data on complications from other countries</w:t>
            </w:r>
          </w:p>
        </w:tc>
      </w:tr>
      <w:tr w:rsidR="006259E7" w:rsidRPr="00C7466A" w14:paraId="2D46CBAD" w14:textId="77777777" w:rsidTr="00C7466A">
        <w:tc>
          <w:tcPr>
            <w:tcW w:w="816" w:type="dxa"/>
            <w:shd w:val="clear" w:color="auto" w:fill="auto"/>
          </w:tcPr>
          <w:p w14:paraId="2B9BAA4F" w14:textId="0571A26A" w:rsidR="00374AFE" w:rsidRPr="00C7466A" w:rsidRDefault="00374AFE" w:rsidP="00C7466A">
            <w:pPr>
              <w:spacing w:after="0" w:line="240" w:lineRule="auto"/>
              <w:rPr>
                <w:rFonts w:cs="Calibri"/>
              </w:rPr>
            </w:pPr>
            <w:r>
              <w:rPr>
                <w:rFonts w:cs="Calibri"/>
              </w:rPr>
              <w:t xml:space="preserve">Rec </w:t>
            </w:r>
            <w:r w:rsidR="00066F68">
              <w:rPr>
                <w:rFonts w:cs="Calibri"/>
              </w:rPr>
              <w:t>4</w:t>
            </w:r>
          </w:p>
        </w:tc>
        <w:tc>
          <w:tcPr>
            <w:tcW w:w="3390" w:type="dxa"/>
            <w:shd w:val="clear" w:color="auto" w:fill="auto"/>
          </w:tcPr>
          <w:p w14:paraId="0DE16CB2" w14:textId="355D6CEC" w:rsidR="00374AFE" w:rsidRPr="000704DC" w:rsidRDefault="000704DC" w:rsidP="006259E7">
            <w:pPr>
              <w:ind w:left="35"/>
              <w:rPr>
                <w:color w:val="000000" w:themeColor="text1"/>
              </w:rPr>
            </w:pPr>
            <w:r w:rsidRPr="000704DC">
              <w:rPr>
                <w:rFonts w:asciiTheme="minorHAnsi" w:hAnsiTheme="minorHAnsi"/>
                <w:color w:val="000000" w:themeColor="text1"/>
              </w:rPr>
              <w:t xml:space="preserve">Hospitals with high re-intervention rates following </w:t>
            </w:r>
            <w:r w:rsidR="006259E7">
              <w:rPr>
                <w:rFonts w:asciiTheme="minorHAnsi" w:hAnsiTheme="minorHAnsi"/>
                <w:color w:val="000000" w:themeColor="text1"/>
              </w:rPr>
              <w:t>ablation procedures</w:t>
            </w:r>
            <w:r w:rsidRPr="000704DC">
              <w:rPr>
                <w:rFonts w:asciiTheme="minorHAnsi" w:hAnsiTheme="minorHAnsi"/>
                <w:color w:val="000000" w:themeColor="text1"/>
              </w:rPr>
              <w:t xml:space="preserve"> should review their cases to examine the factors involved and to determine means by which these can be lowered.</w:t>
            </w:r>
          </w:p>
        </w:tc>
        <w:tc>
          <w:tcPr>
            <w:tcW w:w="0" w:type="auto"/>
            <w:shd w:val="clear" w:color="auto" w:fill="auto"/>
          </w:tcPr>
          <w:p w14:paraId="32A4AFF5" w14:textId="77777777" w:rsidR="00374AFE" w:rsidRDefault="000704DC" w:rsidP="00B62764">
            <w:pPr>
              <w:spacing w:after="0" w:line="240" w:lineRule="auto"/>
              <w:rPr>
                <w:rFonts w:cs="Calibri"/>
              </w:rPr>
            </w:pPr>
            <w:r>
              <w:rPr>
                <w:rFonts w:cs="Calibri"/>
              </w:rPr>
              <w:t>NACRM report:</w:t>
            </w:r>
          </w:p>
          <w:p w14:paraId="1C13B3E5" w14:textId="5194CC32" w:rsidR="000704DC" w:rsidRPr="00B62764" w:rsidRDefault="000704DC" w:rsidP="00BD460E">
            <w:pPr>
              <w:spacing w:after="0" w:line="240" w:lineRule="auto"/>
              <w:rPr>
                <w:rFonts w:cs="Calibri"/>
              </w:rPr>
            </w:pPr>
            <w:r>
              <w:rPr>
                <w:rFonts w:cs="Calibri"/>
              </w:rPr>
              <w:t xml:space="preserve">Pages </w:t>
            </w:r>
            <w:r w:rsidR="00BD460E">
              <w:rPr>
                <w:rFonts w:cs="Calibri"/>
              </w:rPr>
              <w:t xml:space="preserve">22 – 25 </w:t>
            </w:r>
          </w:p>
        </w:tc>
        <w:tc>
          <w:tcPr>
            <w:tcW w:w="0" w:type="auto"/>
            <w:gridSpan w:val="2"/>
            <w:shd w:val="clear" w:color="auto" w:fill="auto"/>
          </w:tcPr>
          <w:p w14:paraId="3AE919C1" w14:textId="1B071DD1" w:rsidR="00B62764" w:rsidRDefault="000704DC" w:rsidP="00C7466A">
            <w:pPr>
              <w:spacing w:after="0" w:line="240" w:lineRule="auto"/>
              <w:rPr>
                <w:rFonts w:cs="Calibri"/>
              </w:rPr>
            </w:pPr>
            <w:r>
              <w:rPr>
                <w:rFonts w:cs="Calibri"/>
              </w:rPr>
              <w:t>No specific recommendations</w:t>
            </w:r>
          </w:p>
        </w:tc>
        <w:tc>
          <w:tcPr>
            <w:tcW w:w="0" w:type="auto"/>
            <w:shd w:val="clear" w:color="auto" w:fill="auto"/>
          </w:tcPr>
          <w:p w14:paraId="1B8DD87B" w14:textId="7B0F9D02" w:rsidR="00374AFE" w:rsidRPr="006259E7" w:rsidRDefault="000704DC" w:rsidP="00C7466A">
            <w:pPr>
              <w:spacing w:after="0" w:line="240" w:lineRule="auto"/>
              <w:rPr>
                <w:rFonts w:cs="Calibri"/>
                <w:color w:val="000000"/>
              </w:rPr>
            </w:pPr>
            <w:r w:rsidRPr="006259E7">
              <w:rPr>
                <w:rFonts w:cs="Calibri"/>
                <w:color w:val="000000"/>
              </w:rPr>
              <w:t>N/A</w:t>
            </w:r>
          </w:p>
        </w:tc>
        <w:tc>
          <w:tcPr>
            <w:tcW w:w="0" w:type="auto"/>
            <w:shd w:val="clear" w:color="auto" w:fill="auto"/>
          </w:tcPr>
          <w:p w14:paraId="2BB6B895" w14:textId="21075DE0" w:rsidR="00374AFE" w:rsidRPr="003D2958" w:rsidRDefault="000704DC" w:rsidP="00A9580A">
            <w:pPr>
              <w:spacing w:after="0" w:line="240" w:lineRule="auto"/>
              <w:rPr>
                <w:rFonts w:cs="Calibri"/>
                <w:iCs/>
              </w:rPr>
            </w:pPr>
            <w:r>
              <w:rPr>
                <w:rFonts w:cs="Calibri"/>
                <w:iCs/>
              </w:rPr>
              <w:t>N/A</w:t>
            </w:r>
          </w:p>
        </w:tc>
        <w:tc>
          <w:tcPr>
            <w:tcW w:w="0" w:type="auto"/>
            <w:shd w:val="clear" w:color="auto" w:fill="auto"/>
          </w:tcPr>
          <w:p w14:paraId="77A105EE" w14:textId="7BD18540" w:rsidR="000704DC" w:rsidRPr="00375242" w:rsidRDefault="000704DC" w:rsidP="000704DC">
            <w:pPr>
              <w:rPr>
                <w:rFonts w:asciiTheme="minorHAnsi" w:hAnsiTheme="minorHAnsi"/>
              </w:rPr>
            </w:pPr>
            <w:r w:rsidRPr="00375242">
              <w:rPr>
                <w:rFonts w:asciiTheme="minorHAnsi" w:hAnsiTheme="minorHAnsi"/>
              </w:rPr>
              <w:t>3.3%</w:t>
            </w:r>
            <w:r w:rsidR="00364F26">
              <w:rPr>
                <w:rFonts w:asciiTheme="minorHAnsi" w:hAnsiTheme="minorHAnsi"/>
              </w:rPr>
              <w:t xml:space="preserve"> undergo re-intervention within a year and that figure is only increased to 4.7% after a further year’s follow up</w:t>
            </w:r>
            <w:r w:rsidRPr="00375242">
              <w:rPr>
                <w:rFonts w:asciiTheme="minorHAnsi" w:hAnsiTheme="minorHAnsi"/>
              </w:rPr>
              <w:t>.</w:t>
            </w:r>
          </w:p>
          <w:p w14:paraId="776D7298" w14:textId="7EE5F65C" w:rsidR="000704DC" w:rsidRPr="00375242" w:rsidRDefault="00364F26" w:rsidP="000704DC">
            <w:pPr>
              <w:rPr>
                <w:rFonts w:asciiTheme="minorHAnsi" w:hAnsiTheme="minorHAnsi"/>
              </w:rPr>
            </w:pPr>
            <w:r>
              <w:rPr>
                <w:rFonts w:asciiTheme="minorHAnsi" w:hAnsiTheme="minorHAnsi"/>
              </w:rPr>
              <w:t>The picture is very different for atrial ablations (largely AF ablation) where the re-intervention rate almost doubles between 1 year (9.6%) and 2 year’s follow up (17.7%)</w:t>
            </w:r>
            <w:r w:rsidR="006259E7">
              <w:rPr>
                <w:rFonts w:asciiTheme="minorHAnsi" w:hAnsiTheme="minorHAnsi"/>
              </w:rPr>
              <w:t>.</w:t>
            </w:r>
          </w:p>
          <w:p w14:paraId="1BD3F410" w14:textId="03CE9A18" w:rsidR="00374AFE" w:rsidRPr="006259E7" w:rsidRDefault="00364F26" w:rsidP="00F04165">
            <w:pPr>
              <w:rPr>
                <w:rFonts w:asciiTheme="minorHAnsi" w:hAnsiTheme="minorHAnsi"/>
              </w:rPr>
            </w:pPr>
            <w:r>
              <w:rPr>
                <w:rFonts w:asciiTheme="minorHAnsi" w:hAnsiTheme="minorHAnsi"/>
              </w:rPr>
              <w:t xml:space="preserve">For ventricular ablations, the picture is intermediate, with </w:t>
            </w:r>
            <w:r>
              <w:rPr>
                <w:rFonts w:asciiTheme="minorHAnsi" w:hAnsiTheme="minorHAnsi"/>
              </w:rPr>
              <w:lastRenderedPageBreak/>
              <w:t xml:space="preserve">re-interventions increasing from 11.1% to 15.8% after a </w:t>
            </w:r>
            <w:r w:rsidR="00F04165">
              <w:rPr>
                <w:rFonts w:asciiTheme="minorHAnsi" w:hAnsiTheme="minorHAnsi"/>
              </w:rPr>
              <w:t>second year of follow up.</w:t>
            </w:r>
          </w:p>
        </w:tc>
      </w:tr>
    </w:tbl>
    <w:p w14:paraId="151AE935" w14:textId="77777777" w:rsidR="002F2FD6" w:rsidRPr="00C7466A" w:rsidRDefault="002F2FD6">
      <w:pPr>
        <w:rPr>
          <w:rFonts w:cs="Calibri"/>
          <w:sz w:val="20"/>
          <w:szCs w:val="20"/>
        </w:rPr>
      </w:pPr>
    </w:p>
    <w:sectPr w:rsidR="002F2FD6" w:rsidRPr="00C7466A" w:rsidSect="00BF4322">
      <w:foot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2A2557" w14:textId="77777777" w:rsidR="00364F26" w:rsidRDefault="00364F26" w:rsidP="00AB1ED2">
      <w:pPr>
        <w:spacing w:after="0" w:line="240" w:lineRule="auto"/>
      </w:pPr>
      <w:r>
        <w:separator/>
      </w:r>
    </w:p>
  </w:endnote>
  <w:endnote w:type="continuationSeparator" w:id="0">
    <w:p w14:paraId="71FB1000" w14:textId="77777777" w:rsidR="00364F26" w:rsidRDefault="00364F26" w:rsidP="00AB1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AF1426" w14:textId="77777777" w:rsidR="00364F26" w:rsidRDefault="00364F26">
    <w:pPr>
      <w:pStyle w:val="Foote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A21AF8">
      <w:rPr>
        <w:bCs/>
        <w:noProof/>
        <w:sz w:val="16"/>
        <w:szCs w:val="16"/>
      </w:rPr>
      <w:t>1</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A21AF8">
      <w:rPr>
        <w:bCs/>
        <w:noProof/>
        <w:sz w:val="16"/>
        <w:szCs w:val="16"/>
      </w:rPr>
      <w:t>5</w:t>
    </w:r>
    <w:r w:rsidRPr="00566815">
      <w:rPr>
        <w:bCs/>
        <w:sz w:val="16"/>
        <w:szCs w:val="16"/>
      </w:rPr>
      <w:fldChar w:fldCharType="end"/>
    </w:r>
    <w:r w:rsidRPr="00566815">
      <w:rPr>
        <w:bCs/>
        <w:sz w:val="16"/>
        <w:szCs w:val="16"/>
      </w:rPr>
      <w:t xml:space="preserve"> SRP provider line of sight template </w:t>
    </w:r>
    <w:r>
      <w:rPr>
        <w:bCs/>
        <w:sz w:val="16"/>
        <w:szCs w:val="16"/>
      </w:rPr>
      <w:t>25-01-2019</w:t>
    </w:r>
  </w:p>
  <w:p w14:paraId="45A4CF58" w14:textId="77777777" w:rsidR="00364F26" w:rsidRDefault="00364F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0C0888" w14:textId="77777777" w:rsidR="00364F26" w:rsidRDefault="00364F26" w:rsidP="00AB1ED2">
      <w:pPr>
        <w:spacing w:after="0" w:line="240" w:lineRule="auto"/>
      </w:pPr>
      <w:r>
        <w:separator/>
      </w:r>
    </w:p>
  </w:footnote>
  <w:footnote w:type="continuationSeparator" w:id="0">
    <w:p w14:paraId="090975D4" w14:textId="77777777" w:rsidR="00364F26" w:rsidRDefault="00364F26" w:rsidP="00AB1E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5A036872"/>
    <w:multiLevelType w:val="hybridMultilevel"/>
    <w:tmpl w:val="9AFC26A4"/>
    <w:lvl w:ilvl="0" w:tplc="08090013">
      <w:start w:val="1"/>
      <w:numFmt w:val="upp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D8652E7"/>
    <w:multiLevelType w:val="hybridMultilevel"/>
    <w:tmpl w:val="460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862"/>
    <w:rsid w:val="00004BDA"/>
    <w:rsid w:val="00066F68"/>
    <w:rsid w:val="000704DC"/>
    <w:rsid w:val="00082A47"/>
    <w:rsid w:val="000F34F8"/>
    <w:rsid w:val="0013144D"/>
    <w:rsid w:val="001B794D"/>
    <w:rsid w:val="00221C0A"/>
    <w:rsid w:val="00232B28"/>
    <w:rsid w:val="002C0618"/>
    <w:rsid w:val="002F2FD6"/>
    <w:rsid w:val="003169EA"/>
    <w:rsid w:val="00321E5B"/>
    <w:rsid w:val="0035705E"/>
    <w:rsid w:val="00364F26"/>
    <w:rsid w:val="00374AFE"/>
    <w:rsid w:val="003751D0"/>
    <w:rsid w:val="003D2958"/>
    <w:rsid w:val="00420FC9"/>
    <w:rsid w:val="004212BB"/>
    <w:rsid w:val="00431444"/>
    <w:rsid w:val="0047308D"/>
    <w:rsid w:val="00566815"/>
    <w:rsid w:val="00576499"/>
    <w:rsid w:val="005A6975"/>
    <w:rsid w:val="005C4D00"/>
    <w:rsid w:val="005E7BEB"/>
    <w:rsid w:val="005F5094"/>
    <w:rsid w:val="006259E7"/>
    <w:rsid w:val="006E5D02"/>
    <w:rsid w:val="00751E66"/>
    <w:rsid w:val="007D795F"/>
    <w:rsid w:val="007E5382"/>
    <w:rsid w:val="0087680E"/>
    <w:rsid w:val="00897779"/>
    <w:rsid w:val="008E19FC"/>
    <w:rsid w:val="008E6341"/>
    <w:rsid w:val="0099267D"/>
    <w:rsid w:val="00A21AF8"/>
    <w:rsid w:val="00A9580A"/>
    <w:rsid w:val="00AB1ED2"/>
    <w:rsid w:val="00AF0E0E"/>
    <w:rsid w:val="00B40CA2"/>
    <w:rsid w:val="00B62764"/>
    <w:rsid w:val="00BB3DAC"/>
    <w:rsid w:val="00BC1CB7"/>
    <w:rsid w:val="00BD460E"/>
    <w:rsid w:val="00BE5154"/>
    <w:rsid w:val="00BF4322"/>
    <w:rsid w:val="00C15862"/>
    <w:rsid w:val="00C3059E"/>
    <w:rsid w:val="00C43E31"/>
    <w:rsid w:val="00C7466A"/>
    <w:rsid w:val="00D54A97"/>
    <w:rsid w:val="00D54FC7"/>
    <w:rsid w:val="00D72212"/>
    <w:rsid w:val="00DB28AD"/>
    <w:rsid w:val="00DF7380"/>
    <w:rsid w:val="00E956D2"/>
    <w:rsid w:val="00ED4CE9"/>
    <w:rsid w:val="00EF00EF"/>
    <w:rsid w:val="00F04165"/>
    <w:rsid w:val="00F313B7"/>
    <w:rsid w:val="00FC36C9"/>
    <w:rsid w:val="00FC3D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009D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3">
    <w:name w:val="heading 3"/>
    <w:basedOn w:val="Normal"/>
    <w:next w:val="Normal"/>
    <w:link w:val="Heading3Char"/>
    <w:uiPriority w:val="9"/>
    <w:unhideWhenUsed/>
    <w:qFormat/>
    <w:rsid w:val="0099267D"/>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eastAsia="en-GB"/>
    </w:rPr>
  </w:style>
  <w:style w:type="paragraph" w:styleId="Heading4">
    <w:name w:val="heading 4"/>
    <w:basedOn w:val="Normal"/>
    <w:next w:val="Normal"/>
    <w:link w:val="Heading4Char"/>
    <w:uiPriority w:val="9"/>
    <w:unhideWhenUsed/>
    <w:qFormat/>
    <w:rsid w:val="008E19F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 w:type="character" w:customStyle="1" w:styleId="Heading3Char">
    <w:name w:val="Heading 3 Char"/>
    <w:basedOn w:val="DefaultParagraphFont"/>
    <w:link w:val="Heading3"/>
    <w:uiPriority w:val="9"/>
    <w:rsid w:val="0099267D"/>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8E19FC"/>
    <w:rPr>
      <w:rFonts w:asciiTheme="majorHAnsi" w:eastAsiaTheme="majorEastAsia" w:hAnsiTheme="majorHAnsi" w:cstheme="majorBidi"/>
      <w:b/>
      <w:bCs/>
      <w:i/>
      <w:i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3">
    <w:name w:val="heading 3"/>
    <w:basedOn w:val="Normal"/>
    <w:next w:val="Normal"/>
    <w:link w:val="Heading3Char"/>
    <w:uiPriority w:val="9"/>
    <w:unhideWhenUsed/>
    <w:qFormat/>
    <w:rsid w:val="0099267D"/>
    <w:pPr>
      <w:keepNext/>
      <w:keepLines/>
      <w:spacing w:before="40" w:after="0" w:line="240" w:lineRule="auto"/>
      <w:outlineLvl w:val="2"/>
    </w:pPr>
    <w:rPr>
      <w:rFonts w:asciiTheme="majorHAnsi" w:eastAsiaTheme="majorEastAsia" w:hAnsiTheme="majorHAnsi" w:cstheme="majorBidi"/>
      <w:color w:val="243F60" w:themeColor="accent1" w:themeShade="7F"/>
      <w:sz w:val="24"/>
      <w:szCs w:val="24"/>
      <w:lang w:eastAsia="en-GB"/>
    </w:rPr>
  </w:style>
  <w:style w:type="paragraph" w:styleId="Heading4">
    <w:name w:val="heading 4"/>
    <w:basedOn w:val="Normal"/>
    <w:next w:val="Normal"/>
    <w:link w:val="Heading4Char"/>
    <w:uiPriority w:val="9"/>
    <w:unhideWhenUsed/>
    <w:qFormat/>
    <w:rsid w:val="008E19F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 w:type="character" w:customStyle="1" w:styleId="Heading3Char">
    <w:name w:val="Heading 3 Char"/>
    <w:basedOn w:val="DefaultParagraphFont"/>
    <w:link w:val="Heading3"/>
    <w:uiPriority w:val="9"/>
    <w:rsid w:val="0099267D"/>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8E19FC"/>
    <w:rPr>
      <w:rFonts w:asciiTheme="majorHAnsi" w:eastAsiaTheme="majorEastAsia" w:hAnsiTheme="majorHAnsi" w:cstheme="majorBidi"/>
      <w:b/>
      <w:bCs/>
      <w:i/>
      <w:i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N:\Senior%20Management%20Team\Quaterly%20Contract%20Review%20Meetings\Final%20CRM%20documents\2019\January%202019\Papers%20received%20from%20HQIP%20080219\Paper%201-%20Line%20of%20sight%20tab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Paper 1- Line of sight table</Template>
  <TotalTime>0</TotalTime>
  <Pages>5</Pages>
  <Words>1005</Words>
  <Characters>5735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Administrator</cp:lastModifiedBy>
  <cp:revision>4</cp:revision>
  <dcterms:created xsi:type="dcterms:W3CDTF">2020-12-08T12:20:00Z</dcterms:created>
  <dcterms:modified xsi:type="dcterms:W3CDTF">2020-12-09T09:31:00Z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48d14a78-3758-4edd-9cbc-c079203b3b5f</vt:lpwstr>
  </property>
</Properties>
</file>