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1B014A" w14:textId="77777777" w:rsidR="000A42E0" w:rsidRDefault="00E07EE5" w:rsidP="000A42E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Appendix 3 </w:t>
      </w:r>
      <w:r w:rsidR="000A42E0" w:rsidRPr="008C57E1">
        <w:rPr>
          <w:b/>
          <w:sz w:val="28"/>
          <w:szCs w:val="28"/>
        </w:rPr>
        <w:t xml:space="preserve">Random effects Cox proportional hazards model for death in </w:t>
      </w:r>
      <w:r w:rsidR="000A42E0">
        <w:rPr>
          <w:b/>
          <w:sz w:val="28"/>
          <w:szCs w:val="28"/>
        </w:rPr>
        <w:t>hospital 2018/19</w:t>
      </w:r>
      <w:r w:rsidR="000A42E0" w:rsidRPr="008C57E1">
        <w:rPr>
          <w:b/>
          <w:sz w:val="28"/>
          <w:szCs w:val="28"/>
        </w:rPr>
        <w:t xml:space="preserve">        </w:t>
      </w:r>
    </w:p>
    <w:tbl>
      <w:tblPr>
        <w:tblW w:w="9400" w:type="dxa"/>
        <w:tblInd w:w="93" w:type="dxa"/>
        <w:tblLook w:val="04A0" w:firstRow="1" w:lastRow="0" w:firstColumn="1" w:lastColumn="0" w:noHBand="0" w:noVBand="1"/>
      </w:tblPr>
      <w:tblGrid>
        <w:gridCol w:w="4260"/>
        <w:gridCol w:w="1260"/>
        <w:gridCol w:w="960"/>
        <w:gridCol w:w="1260"/>
        <w:gridCol w:w="828"/>
        <w:gridCol w:w="1026"/>
      </w:tblGrid>
      <w:tr w:rsidR="000A42E0" w:rsidRPr="000A42E0" w14:paraId="4D0D04FE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D26A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In-Hospital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1E74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BE1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686D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0DEE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4C95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N=21517</w:t>
            </w:r>
          </w:p>
        </w:tc>
      </w:tr>
      <w:tr w:rsidR="000A42E0" w:rsidRPr="000A42E0" w14:paraId="590EC875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55DD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CD0B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Hazard Ratio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0331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Lower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4795C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Upper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071E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E563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2EA15EB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D252B" w14:textId="35C22F68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Age</w:t>
            </w:r>
            <w:r w:rsidR="00AF5386">
              <w:rPr>
                <w:rFonts w:ascii="Calibri" w:eastAsia="Times New Roman" w:hAnsi="Calibri" w:cs="Times New Roman"/>
                <w:color w:val="000000"/>
                <w:lang w:val="en-US"/>
              </w:rPr>
              <w:t>≥</w:t>
            </w: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75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7B55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4B8D2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57E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2.05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056C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E78B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3C2A47B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7A180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Not cardiology in 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B902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519A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6099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1.91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AAB3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824A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377F342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CFB1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NYHA III/IV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99DA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24359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E76D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1D0D9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5FE4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0EDB48C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BF72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Heart rate (5 bpm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66F2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259D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E96C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B372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0558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D05D227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4219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Urea (5mEq/dL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AA48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6D21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6B0A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1.18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3802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9678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05C8068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C04C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Ischaemic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Heart Disease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FFB4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749A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15F5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4489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2EC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2EFC156D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CFC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Sodium electrolytes (5mEq/dL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DCF6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A483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FFB8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15CA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D92F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0D899F53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ECE9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Systolic Blood Pressure (10 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mHg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decrease)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4D9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88D8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AF8B9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481E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8A40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60700724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F38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Valve Disease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7E9E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A3A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3275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1.28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E66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8487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59A4EA6B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EE61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COPD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DDD6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41C4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0.91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D916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074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1BC6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CF8B124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1FD8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Female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60F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0679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0.87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964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B86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DB8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E58C0DB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0AFE1" w14:textId="46CB2F25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Potassium </w:t>
            </w:r>
            <w:r w:rsidR="00AF5386">
              <w:rPr>
                <w:rFonts w:ascii="Calibri" w:eastAsia="Times New Roman" w:hAnsi="Calibri" w:cs="Times New Roman"/>
                <w:color w:val="000000"/>
                <w:lang w:val="en-US"/>
              </w:rPr>
              <w:t>≤</w:t>
            </w: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3.5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84A0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D52D9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03A5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1.73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B81B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F5F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CC0713B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B522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Potassium 3.5-4.5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454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EC8C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A704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839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336F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4B7DE726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4B3A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Potassium 4.5-5.5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C277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2E35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9262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1.86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A597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6671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8F8F14C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9781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Potassium &gt;5.5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0072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3.16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F615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2.53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668A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3.93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A8A6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CEEF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66FDF983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DA97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Creatinine (10 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umol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BA85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684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2EA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8B13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3D6A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548083CD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A0FA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Haemoglobin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(g/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dLincrease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827B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805A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0.96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827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26B1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4229C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</w:tbl>
    <w:p w14:paraId="614D341A" w14:textId="77777777" w:rsidR="000A42E0" w:rsidRDefault="000A42E0" w:rsidP="000A42E0">
      <w:pPr>
        <w:rPr>
          <w:b/>
          <w:sz w:val="28"/>
          <w:szCs w:val="28"/>
        </w:rPr>
      </w:pPr>
    </w:p>
    <w:p w14:paraId="69D4A11C" w14:textId="77777777" w:rsidR="000A42E0" w:rsidRDefault="00E07EE5" w:rsidP="000A42E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Appendix 4 </w:t>
      </w:r>
      <w:r w:rsidR="000A42E0" w:rsidRPr="001C1B4B">
        <w:rPr>
          <w:b/>
          <w:sz w:val="28"/>
          <w:szCs w:val="28"/>
        </w:rPr>
        <w:t xml:space="preserve">Random effects Cox proportional hazards model for 30-day post discharge </w:t>
      </w:r>
      <w:r w:rsidR="000A42E0">
        <w:rPr>
          <w:b/>
          <w:sz w:val="28"/>
          <w:szCs w:val="28"/>
        </w:rPr>
        <w:t>mortality 2018/19</w:t>
      </w:r>
    </w:p>
    <w:tbl>
      <w:tblPr>
        <w:tblW w:w="9400" w:type="dxa"/>
        <w:tblInd w:w="93" w:type="dxa"/>
        <w:tblLook w:val="04A0" w:firstRow="1" w:lastRow="0" w:firstColumn="1" w:lastColumn="0" w:noHBand="0" w:noVBand="1"/>
      </w:tblPr>
      <w:tblGrid>
        <w:gridCol w:w="4260"/>
        <w:gridCol w:w="1260"/>
        <w:gridCol w:w="960"/>
        <w:gridCol w:w="1260"/>
        <w:gridCol w:w="828"/>
        <w:gridCol w:w="1026"/>
      </w:tblGrid>
      <w:tr w:rsidR="000A42E0" w:rsidRPr="000A42E0" w14:paraId="7B7E829F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59CF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30 days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2A75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5E2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7969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9274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585E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N=14350</w:t>
            </w:r>
          </w:p>
        </w:tc>
      </w:tr>
      <w:tr w:rsidR="000A42E0" w:rsidRPr="000A42E0" w14:paraId="2DC6C91C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6053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23DA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Hazard Ratio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5395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Lower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5A57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Upper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A489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F615C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D0C6689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E03F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 cardiology follow-up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B484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02642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1.60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8656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2.35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604F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86F2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10B9036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660ED" w14:textId="6E11187B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Age</w:t>
            </w:r>
            <w:r w:rsidR="00AF5386">
              <w:rPr>
                <w:rFonts w:ascii="Calibri" w:eastAsia="Times New Roman" w:hAnsi="Calibri" w:cs="Times New Roman"/>
                <w:color w:val="000000"/>
                <w:lang w:val="en-US"/>
              </w:rPr>
              <w:t>≥</w:t>
            </w: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75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11EB2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347C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5E1E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2.15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84CBC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49EC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058DF89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8144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 ACE inhibitor and/or ARB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EA52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2E6A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8009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2.06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86B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8E1BC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584E7E97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4568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Ischaemic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Heart Disease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1EA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CF3E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62C8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70CA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E870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212D2268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547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Not cardiology in 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49C3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8F5C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9449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9D76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A911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407DD9FA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BDB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COPD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9EF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7791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D937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1EE9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B30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2A9F15C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01BC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Sodium electrolytes (5mEq/dL decrease)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6272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849F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BA52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AFFF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A6ED0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2565C967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D416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Systolic blood pressure (10 mm Hg decrease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38E6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AA18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233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ABBC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00E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1D00642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1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46A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61A8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0.92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5766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1.28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205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DB2C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2334B677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CF1E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Urea (5mEq/dL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8581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9821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17F42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BD00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8A090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5E33BC0A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8BA5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Haemoglobin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(g/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dLdecrease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15D8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E715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EFA42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3A64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F6FE0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6A1F5865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1B96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Creatinine (10 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umol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2823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AD4C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26BE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255E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7839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49A182D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F0B2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NYHA III/IV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BF00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3DEA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0.69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0DF7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ABB2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B24A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512AE18B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E335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Length of stay 0- 4 days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464E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FB2A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5AE7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330D2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4D27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25B9E766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B61D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Length of stay 5-8 days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4845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5C95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0.87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A9A6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21BF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69AB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0A76952F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EFF2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Length of stay 9-15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E955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0A3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B12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2.07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00DF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817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5AB9B181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5EA58" w14:textId="11C127D6" w:rsidR="000A42E0" w:rsidRPr="000A42E0" w:rsidRDefault="001412AB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 xml:space="preserve">Length of stay </w:t>
            </w:r>
            <w:r w:rsidR="00AF5386">
              <w:rPr>
                <w:rFonts w:ascii="Calibri" w:eastAsia="Times New Roman" w:hAnsi="Calibri" w:cs="Times New Roman"/>
                <w:color w:val="000000"/>
                <w:lang w:val="en-US"/>
              </w:rPr>
              <w:t>≥</w:t>
            </w:r>
            <w:r w:rsidR="000A42E0"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16 days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BE34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ABBD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4F58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2.54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D293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4157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</w:tbl>
    <w:p w14:paraId="20DB922F" w14:textId="77777777" w:rsidR="000A42E0" w:rsidRDefault="000A42E0" w:rsidP="000A42E0">
      <w:pPr>
        <w:rPr>
          <w:b/>
          <w:sz w:val="28"/>
          <w:szCs w:val="28"/>
        </w:rPr>
      </w:pPr>
    </w:p>
    <w:p w14:paraId="2283D344" w14:textId="77777777" w:rsidR="000A42E0" w:rsidRDefault="00E07EE5" w:rsidP="000A42E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Appendix 5 </w:t>
      </w:r>
      <w:r w:rsidR="000A42E0" w:rsidRPr="001C1B4B">
        <w:rPr>
          <w:b/>
          <w:sz w:val="28"/>
          <w:szCs w:val="28"/>
        </w:rPr>
        <w:t>Random effects Cox proportional hazards model for 1-year post discharge mortality</w:t>
      </w:r>
      <w:r w:rsidR="000A42E0">
        <w:rPr>
          <w:b/>
          <w:sz w:val="28"/>
          <w:szCs w:val="28"/>
        </w:rPr>
        <w:t xml:space="preserve"> 2018/19</w:t>
      </w:r>
    </w:p>
    <w:tbl>
      <w:tblPr>
        <w:tblW w:w="9400" w:type="dxa"/>
        <w:tblInd w:w="93" w:type="dxa"/>
        <w:tblLook w:val="04A0" w:firstRow="1" w:lastRow="0" w:firstColumn="1" w:lastColumn="0" w:noHBand="0" w:noVBand="1"/>
      </w:tblPr>
      <w:tblGrid>
        <w:gridCol w:w="4260"/>
        <w:gridCol w:w="1260"/>
        <w:gridCol w:w="960"/>
        <w:gridCol w:w="1260"/>
        <w:gridCol w:w="828"/>
        <w:gridCol w:w="1026"/>
      </w:tblGrid>
      <w:tr w:rsidR="000A42E0" w:rsidRPr="000A42E0" w14:paraId="22E4BBFA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CA86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 year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42F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61B5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4129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98B2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C841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N=12772</w:t>
            </w:r>
          </w:p>
        </w:tc>
      </w:tr>
      <w:tr w:rsidR="000A42E0" w:rsidRPr="000A42E0" w14:paraId="1DB584A2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C3A4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116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B8570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AF34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4B41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E2F3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6484731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DEAC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5C44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Hazard Ratio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3FF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Lower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DC9B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Upper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022E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9002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07AA4779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FE6EA" w14:textId="508CFA64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Age</w:t>
            </w:r>
            <w:r w:rsidR="00AF5386">
              <w:rPr>
                <w:rFonts w:ascii="Calibri" w:eastAsia="Times New Roman" w:hAnsi="Calibri" w:cs="Times New Roman"/>
                <w:color w:val="000000"/>
                <w:lang w:val="en-US"/>
              </w:rPr>
              <w:t>≥</w:t>
            </w: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75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A56C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F095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1.80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6700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2.15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939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7DF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670E047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49F2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 cardiology follow-up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AB632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C6EE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6C25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1.59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9A50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D8E8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26C6FE0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8CF7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 ACE inhibitor and/or ARB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C19F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CFDB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EE97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E6D3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0B6A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02FB2CBB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CAF3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Not cardiology in patient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B2F8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AC6E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E421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1.45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B78C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62CA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9E0FABF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A84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COPD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457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D357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8737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1.44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26B4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A74D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8484768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07CC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Ischaemic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Heart Disease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ECC4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ED92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D19E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7E5B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3C6A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6A3B3B06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86C1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Sodium electrolytes (5mEq/dL decrease)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6E22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ED66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4C89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F72F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B279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6F2C9D7D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44D9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Valve Disease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16FB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7EC57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2A12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DC71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C6AD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463FD570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2B24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No beta blocker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D4C8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E3DA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0CCC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C80F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BCCE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E4D71A3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C13A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Male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A27EA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9EB5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720D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3614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0.049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68DD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6C26ABD2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5AF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Haemoglobin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 (g/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dLdecrease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6E2D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9EFC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1A28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4F61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195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218415EA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A898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Systolic blood pressure (10 mm Hg decrease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BE69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9750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AC53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D842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02E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5A81F751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9875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Urea (5mEq/dL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5D44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8BDD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6B2A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14FB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C1A8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6653D3A2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9D5A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NYHA III/IV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5A7A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E936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0.97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9C47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1.18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3C2BB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2592C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1231B90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AE83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Creatinine (10 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umol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 increase)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B2AD9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7886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8620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6AB5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83D4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3CA61C90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5568D" w14:textId="559A4155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Potassium </w:t>
            </w:r>
            <w:r w:rsidR="00AF5386">
              <w:rPr>
                <w:rFonts w:ascii="Calibri" w:eastAsia="Times New Roman" w:hAnsi="Calibri" w:cs="Times New Roman"/>
                <w:color w:val="000000"/>
                <w:lang w:val="en-US"/>
              </w:rPr>
              <w:t>≤</w:t>
            </w:r>
            <w:bookmarkStart w:id="0" w:name="_GoBack"/>
            <w:bookmarkEnd w:id="0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3.5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64725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4543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0CDD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1.37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508DF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182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2A0BCF7F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28C3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Potassium 3.5-4.5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A0AE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0E920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C6D15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18D3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3D8A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D6B37F4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3F788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Potassium 4.5-5.5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BDF51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30823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0.87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BD4C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F64C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A4239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071B5AD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E9523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Potassium &gt;5.5 (</w:t>
            </w:r>
            <w:proofErr w:type="spellStart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mEq</w:t>
            </w:r>
            <w:proofErr w:type="spellEnd"/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/L)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1F2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FBC9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0.83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BF9D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D1AF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0.18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1680E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112A5D3C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3B0D2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Length of stay 0- 4 days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3559D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81C0A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8615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BC2F6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34E9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E7E4F80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775A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Length of stay 5-8 days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691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5969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FE266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1.32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D22F7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35B9D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F6A2B2E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EDEB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Length of stay 9-15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02A0F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A6B8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CBB7E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1.54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9E4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0D00C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  <w:tr w:rsidR="000A42E0" w:rsidRPr="000A42E0" w14:paraId="758CBDB0" w14:textId="77777777" w:rsidTr="000A42E0">
        <w:trPr>
          <w:trHeight w:val="300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78736" w14:textId="20E524CA" w:rsidR="000A42E0" w:rsidRPr="000A42E0" w:rsidRDefault="000A42E0" w:rsidP="001412A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 xml:space="preserve">Length of stay </w:t>
            </w:r>
            <w:r w:rsidR="00AF5386">
              <w:rPr>
                <w:rFonts w:ascii="Calibri" w:eastAsia="Times New Roman" w:hAnsi="Calibri" w:cs="Times New Roman"/>
                <w:color w:val="000000"/>
                <w:lang w:val="en-US"/>
              </w:rPr>
              <w:t>≥</w:t>
            </w: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16 days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AF410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1F4A8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1.69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3D1FC" w14:textId="77777777" w:rsidR="000A42E0" w:rsidRPr="000A42E0" w:rsidRDefault="000A42E0" w:rsidP="000A4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2.06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7B41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0A42E0">
              <w:rPr>
                <w:rFonts w:ascii="Calibri" w:eastAsia="Times New Roman" w:hAnsi="Calibri" w:cs="Times New Roman"/>
                <w:color w:val="000000"/>
                <w:lang w:val="en-US"/>
              </w:rPr>
              <w:t>&lt;0.001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423C4" w14:textId="77777777" w:rsidR="000A42E0" w:rsidRPr="000A42E0" w:rsidRDefault="000A42E0" w:rsidP="000A42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</w:p>
        </w:tc>
      </w:tr>
    </w:tbl>
    <w:p w14:paraId="3355FE93" w14:textId="77777777" w:rsidR="00DE73E7" w:rsidRPr="000A42E0" w:rsidRDefault="000A42E0" w:rsidP="000A42E0">
      <w:r w:rsidRPr="008C57E1">
        <w:rPr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</w:t>
      </w:r>
    </w:p>
    <w:sectPr w:rsidR="00DE73E7" w:rsidRPr="000A42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43139D" w14:textId="77777777" w:rsidR="00455EA1" w:rsidRDefault="00455EA1" w:rsidP="000A42E0">
      <w:pPr>
        <w:spacing w:after="0" w:line="240" w:lineRule="auto"/>
      </w:pPr>
      <w:r>
        <w:separator/>
      </w:r>
    </w:p>
  </w:endnote>
  <w:endnote w:type="continuationSeparator" w:id="0">
    <w:p w14:paraId="7425503E" w14:textId="77777777" w:rsidR="00455EA1" w:rsidRDefault="00455EA1" w:rsidP="000A42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14D16F" w14:textId="77777777" w:rsidR="00455EA1" w:rsidRDefault="00455EA1" w:rsidP="000A42E0">
      <w:pPr>
        <w:spacing w:after="0" w:line="240" w:lineRule="auto"/>
      </w:pPr>
      <w:r>
        <w:separator/>
      </w:r>
    </w:p>
  </w:footnote>
  <w:footnote w:type="continuationSeparator" w:id="0">
    <w:p w14:paraId="62502D11" w14:textId="77777777" w:rsidR="00455EA1" w:rsidRDefault="00455EA1" w:rsidP="000A42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2E0"/>
    <w:rsid w:val="000A42E0"/>
    <w:rsid w:val="00110837"/>
    <w:rsid w:val="001412AB"/>
    <w:rsid w:val="00455EA1"/>
    <w:rsid w:val="004C5EF0"/>
    <w:rsid w:val="00780BD5"/>
    <w:rsid w:val="00966637"/>
    <w:rsid w:val="00AF5386"/>
    <w:rsid w:val="00E07EE5"/>
    <w:rsid w:val="00E71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7AE6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A42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2E0"/>
  </w:style>
  <w:style w:type="paragraph" w:styleId="Footer">
    <w:name w:val="footer"/>
    <w:basedOn w:val="Normal"/>
    <w:link w:val="FooterChar"/>
    <w:uiPriority w:val="99"/>
    <w:unhideWhenUsed/>
    <w:rsid w:val="000A42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2E0"/>
  </w:style>
  <w:style w:type="paragraph" w:styleId="BalloonText">
    <w:name w:val="Balloon Text"/>
    <w:basedOn w:val="Normal"/>
    <w:link w:val="BalloonTextChar"/>
    <w:uiPriority w:val="99"/>
    <w:semiHidden/>
    <w:unhideWhenUsed/>
    <w:rsid w:val="00E07EE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EE5"/>
    <w:rPr>
      <w:rFonts w:ascii="Times New Roman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A42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2E0"/>
  </w:style>
  <w:style w:type="paragraph" w:styleId="Footer">
    <w:name w:val="footer"/>
    <w:basedOn w:val="Normal"/>
    <w:link w:val="FooterChar"/>
    <w:uiPriority w:val="99"/>
    <w:unhideWhenUsed/>
    <w:rsid w:val="000A42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2E0"/>
  </w:style>
  <w:style w:type="paragraph" w:styleId="BalloonText">
    <w:name w:val="Balloon Text"/>
    <w:basedOn w:val="Normal"/>
    <w:link w:val="BalloonTextChar"/>
    <w:uiPriority w:val="99"/>
    <w:semiHidden/>
    <w:unhideWhenUsed/>
    <w:rsid w:val="00E07EE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EE5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68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4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UCL</Company>
  <LinksUpToDate>false</LinksUpToDate>
  <CharactersWithSpaces>3184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2020-09-03T21:01:00Z</dcterms:created>
  <dcterms:modified xsi:type="dcterms:W3CDTF">2020-09-14T13:11:00Z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inDIP File ID">
    <vt:lpwstr>7728b730-1c09-429b-8ca8-03c01fe2f3b7</vt:lpwstr>
  </property>
</Properties>
</file>