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4920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</w:tblGrid>
      <w:tr w:rsidR="00B21BB4" w:rsidRPr="002B6BD1" w14:paraId="20958599" w14:textId="77777777" w:rsidTr="002B6BD1">
        <w:trPr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68D3CE12" w14:textId="77777777" w:rsidR="00B21BB4" w:rsidRPr="002B6BD1" w:rsidRDefault="00B80991" w:rsidP="00695BC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 xml:space="preserve">Report </w:t>
            </w:r>
            <w:r w:rsidR="00B2601C" w:rsidRPr="002B6BD1">
              <w:rPr>
                <w:rFonts w:ascii="Arial" w:hAnsi="Arial" w:cs="Arial"/>
                <w:b/>
                <w:sz w:val="24"/>
                <w:szCs w:val="24"/>
              </w:rPr>
              <w:t>key m</w:t>
            </w:r>
            <w:r w:rsidR="00B21BB4" w:rsidRPr="002B6BD1">
              <w:rPr>
                <w:rFonts w:ascii="Arial" w:hAnsi="Arial" w:cs="Arial"/>
                <w:b/>
                <w:sz w:val="24"/>
                <w:szCs w:val="24"/>
              </w:rPr>
              <w:t>essages</w:t>
            </w:r>
          </w:p>
        </w:tc>
      </w:tr>
      <w:tr w:rsidR="006C0AC6" w:rsidRPr="002B6BD1" w14:paraId="771D9CDB" w14:textId="77777777" w:rsidTr="002B6BD1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23330398" w14:textId="348CD374" w:rsidR="006C0AC6" w:rsidRPr="002B6BD1" w:rsidRDefault="005B21FF" w:rsidP="005B21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Project title</w:t>
            </w:r>
            <w:r w:rsidR="006C0AC6" w:rsidRPr="002B6BD1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  <w:r w:rsidR="009A77CD" w:rsidRPr="002B6BD1">
              <w:rPr>
                <w:rFonts w:ascii="Arial" w:hAnsi="Arial" w:cs="Arial"/>
                <w:b/>
                <w:i/>
                <w:iCs/>
                <w:sz w:val="24"/>
                <w:szCs w:val="24"/>
              </w:rPr>
              <w:t>Myocardial Ischaemia National Audit Project</w:t>
            </w:r>
          </w:p>
        </w:tc>
      </w:tr>
      <w:tr w:rsidR="00B21BB4" w:rsidRPr="002B6BD1" w14:paraId="0D65FD6B" w14:textId="77777777" w:rsidTr="002B6BD1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46177811" w14:textId="5F43DA32" w:rsidR="00B21BB4" w:rsidRPr="002B6BD1" w:rsidRDefault="00B2601C" w:rsidP="00F24FD5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 xml:space="preserve">Report </w:t>
            </w:r>
            <w:r w:rsidR="00F24FD5" w:rsidRPr="002B6BD1">
              <w:rPr>
                <w:rFonts w:ascii="Arial" w:hAnsi="Arial" w:cs="Arial"/>
                <w:b/>
                <w:sz w:val="24"/>
                <w:szCs w:val="24"/>
              </w:rPr>
              <w:t xml:space="preserve">ref. and </w:t>
            </w:r>
            <w:r w:rsidRPr="002B6BD1">
              <w:rPr>
                <w:rFonts w:ascii="Arial" w:hAnsi="Arial" w:cs="Arial"/>
                <w:b/>
                <w:sz w:val="24"/>
                <w:szCs w:val="24"/>
              </w:rPr>
              <w:t>n</w:t>
            </w:r>
            <w:r w:rsidR="00B21BB4" w:rsidRPr="002B6BD1">
              <w:rPr>
                <w:rFonts w:ascii="Arial" w:hAnsi="Arial" w:cs="Arial"/>
                <w:b/>
                <w:sz w:val="24"/>
                <w:szCs w:val="24"/>
              </w:rPr>
              <w:t>ame:</w:t>
            </w:r>
            <w:r w:rsidR="00695BC8" w:rsidRPr="002B6BD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77CD" w:rsidRPr="002B6BD1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>Management of Heart Attack: 2023 Summary Report (2021/22 data)</w:t>
            </w:r>
          </w:p>
        </w:tc>
      </w:tr>
      <w:tr w:rsidR="00B21BB4" w:rsidRPr="002B6BD1" w14:paraId="4E3AA2E3" w14:textId="77777777" w:rsidTr="002B6BD1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1CB7B229" w14:textId="77777777" w:rsidR="00B21BB4" w:rsidRPr="002B6BD1" w:rsidRDefault="00B21BB4" w:rsidP="00695BC8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Date of</w:t>
            </w:r>
            <w:r w:rsidR="00B2601C" w:rsidRPr="002B6BD1">
              <w:rPr>
                <w:rFonts w:ascii="Arial" w:hAnsi="Arial" w:cs="Arial"/>
                <w:b/>
                <w:sz w:val="24"/>
                <w:szCs w:val="24"/>
              </w:rPr>
              <w:t xml:space="preserve"> p</w:t>
            </w:r>
            <w:r w:rsidRPr="002B6BD1">
              <w:rPr>
                <w:rFonts w:ascii="Arial" w:hAnsi="Arial" w:cs="Arial"/>
                <w:b/>
                <w:sz w:val="24"/>
                <w:szCs w:val="24"/>
              </w:rPr>
              <w:t>ublication:</w:t>
            </w:r>
            <w:r w:rsidR="00B2681A" w:rsidRPr="002B6BD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B21BB4" w:rsidRPr="002B6BD1" w14:paraId="289A1567" w14:textId="77777777" w:rsidTr="00695BC8">
        <w:trPr>
          <w:trHeight w:val="163"/>
        </w:trPr>
        <w:tc>
          <w:tcPr>
            <w:tcW w:w="2415" w:type="dxa"/>
          </w:tcPr>
          <w:p w14:paraId="3A87D00F" w14:textId="77777777" w:rsidR="00B21BB4" w:rsidRPr="002B6BD1" w:rsidRDefault="00B21BB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Key message 1:</w:t>
            </w:r>
          </w:p>
        </w:tc>
        <w:tc>
          <w:tcPr>
            <w:tcW w:w="12505" w:type="dxa"/>
          </w:tcPr>
          <w:p w14:paraId="12D8F776" w14:textId="09DA61B5" w:rsidR="00695BC8" w:rsidRPr="002B6BD1" w:rsidRDefault="00593D24" w:rsidP="00593D24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  <w:sz w:val="24"/>
                <w:szCs w:val="24"/>
              </w:rPr>
              <w:t xml:space="preserve">The overall number of cases of heart attack reported this year, </w:t>
            </w:r>
            <w:r w:rsidRPr="002B6BD1">
              <w:rPr>
                <w:rFonts w:ascii="Arial" w:eastAsiaTheme="majorEastAsia" w:hAnsi="Arial" w:cs="Arial"/>
                <w:sz w:val="24"/>
                <w:szCs w:val="24"/>
              </w:rPr>
              <w:t>85,630, is 16% higher than the previous year, and represents a ‘bounce-back’ to ‘pre-pandemic’ levels.</w:t>
            </w:r>
          </w:p>
        </w:tc>
      </w:tr>
      <w:tr w:rsidR="00B21BB4" w:rsidRPr="002B6BD1" w14:paraId="205B7E95" w14:textId="77777777" w:rsidTr="00695BC8">
        <w:trPr>
          <w:trHeight w:val="223"/>
        </w:trPr>
        <w:tc>
          <w:tcPr>
            <w:tcW w:w="2415" w:type="dxa"/>
          </w:tcPr>
          <w:p w14:paraId="3A33D85A" w14:textId="77777777" w:rsidR="00B21BB4" w:rsidRPr="002B6BD1" w:rsidRDefault="00B21BB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Key message 2:</w:t>
            </w:r>
          </w:p>
        </w:tc>
        <w:tc>
          <w:tcPr>
            <w:tcW w:w="12505" w:type="dxa"/>
          </w:tcPr>
          <w:p w14:paraId="7A0B58D3" w14:textId="2C810137" w:rsidR="00695BC8" w:rsidRPr="002B6BD1" w:rsidRDefault="004856E3" w:rsidP="00593D24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  <w:sz w:val="24"/>
                <w:szCs w:val="24"/>
              </w:rPr>
              <w:t>P</w:t>
            </w:r>
            <w:r w:rsidR="00593D24" w:rsidRPr="002B6BD1">
              <w:rPr>
                <w:rFonts w:ascii="Arial" w:hAnsi="Arial" w:cs="Arial"/>
                <w:sz w:val="24"/>
                <w:szCs w:val="24"/>
              </w:rPr>
              <w:t>roportions both of patients referred to cardiac rehabilitation programmes following heart attack</w:t>
            </w:r>
            <w:r w:rsidR="00593D24" w:rsidRPr="002B6BD1">
              <w:rPr>
                <w:rFonts w:ascii="Arial" w:eastAsia="Arial" w:hAnsi="Arial" w:cs="Arial"/>
                <w:sz w:val="24"/>
                <w:szCs w:val="24"/>
              </w:rPr>
              <w:t xml:space="preserve"> and of eligible patients receiving an echocardiogram prior to discharge</w:t>
            </w:r>
            <w:r w:rsidR="00593D24" w:rsidRPr="002B6BD1">
              <w:rPr>
                <w:rFonts w:ascii="Arial" w:hAnsi="Arial" w:cs="Arial"/>
                <w:sz w:val="24"/>
                <w:szCs w:val="24"/>
              </w:rPr>
              <w:t xml:space="preserve"> from hospital </w:t>
            </w:r>
            <w:r w:rsidRPr="002B6BD1">
              <w:rPr>
                <w:rFonts w:ascii="Arial" w:hAnsi="Arial" w:cs="Arial"/>
                <w:sz w:val="24"/>
                <w:szCs w:val="24"/>
              </w:rPr>
              <w:t>are</w:t>
            </w:r>
            <w:r w:rsidR="00593D24" w:rsidRPr="002B6BD1">
              <w:rPr>
                <w:rFonts w:ascii="Arial" w:hAnsi="Arial" w:cs="Arial"/>
                <w:sz w:val="24"/>
                <w:szCs w:val="24"/>
              </w:rPr>
              <w:t xml:space="preserve"> at the highest recorded level. Referral to rehabilitation exceeds the aspiration that 85% of patients should being referred.</w:t>
            </w:r>
          </w:p>
        </w:tc>
      </w:tr>
      <w:tr w:rsidR="00B21BB4" w:rsidRPr="002B6BD1" w14:paraId="556E10E1" w14:textId="77777777" w:rsidTr="00695BC8">
        <w:trPr>
          <w:trHeight w:val="77"/>
        </w:trPr>
        <w:tc>
          <w:tcPr>
            <w:tcW w:w="2415" w:type="dxa"/>
          </w:tcPr>
          <w:p w14:paraId="7113CB34" w14:textId="77777777" w:rsidR="00B21BB4" w:rsidRPr="002B6BD1" w:rsidRDefault="00B21BB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Key message 3:</w:t>
            </w:r>
          </w:p>
        </w:tc>
        <w:tc>
          <w:tcPr>
            <w:tcW w:w="12505" w:type="dxa"/>
          </w:tcPr>
          <w:p w14:paraId="62042E38" w14:textId="433A16D8" w:rsidR="00695BC8" w:rsidRPr="002B6BD1" w:rsidRDefault="0003141E" w:rsidP="00FC1B7D">
            <w:pPr>
              <w:pStyle w:val="NormalWeb"/>
              <w:rPr>
                <w:rFonts w:ascii="Arial" w:hAnsi="Arial" w:cs="Arial"/>
              </w:rPr>
            </w:pPr>
            <w:r w:rsidRPr="002B6BD1">
              <w:rPr>
                <w:rFonts w:ascii="Arial" w:hAnsi="Arial" w:cs="Arial"/>
              </w:rPr>
              <w:t xml:space="preserve">Percutaneous coronary intervention (PCI) is used, appropriately, in </w:t>
            </w:r>
            <w:proofErr w:type="gramStart"/>
            <w:r w:rsidRPr="002B6BD1">
              <w:rPr>
                <w:rFonts w:ascii="Arial" w:hAnsi="Arial" w:cs="Arial"/>
              </w:rPr>
              <w:t>the majority of</w:t>
            </w:r>
            <w:proofErr w:type="gramEnd"/>
            <w:r w:rsidRPr="002B6BD1">
              <w:rPr>
                <w:rFonts w:ascii="Arial" w:hAnsi="Arial" w:cs="Arial"/>
              </w:rPr>
              <w:t xml:space="preserve"> </w:t>
            </w:r>
            <w:r w:rsidR="00893DE9" w:rsidRPr="002B6BD1">
              <w:rPr>
                <w:rFonts w:ascii="Arial" w:hAnsi="Arial" w:cs="Arial"/>
              </w:rPr>
              <w:t>cases</w:t>
            </w:r>
            <w:r w:rsidRPr="002B6BD1">
              <w:rPr>
                <w:rFonts w:ascii="Arial" w:hAnsi="Arial" w:cs="Arial"/>
              </w:rPr>
              <w:t xml:space="preserve"> despite a greater number of patients being managed this year – </w:t>
            </w:r>
            <w:r w:rsidR="00893DE9" w:rsidRPr="002B6BD1">
              <w:rPr>
                <w:rFonts w:ascii="Arial" w:hAnsi="Arial" w:cs="Arial"/>
              </w:rPr>
              <w:t>i</w:t>
            </w:r>
            <w:r w:rsidRPr="002B6BD1">
              <w:rPr>
                <w:rFonts w:ascii="Arial" w:hAnsi="Arial" w:cs="Arial"/>
              </w:rPr>
              <w:t>mmediate (primary) PCI in 84% of cases of ‘high-risk’ STEMI heart attacks; urgent PCI in 83% of lower-risk NSTEMI heart attacks.</w:t>
            </w:r>
          </w:p>
        </w:tc>
      </w:tr>
      <w:tr w:rsidR="00B21BB4" w:rsidRPr="002B6BD1" w14:paraId="0C59C866" w14:textId="77777777" w:rsidTr="00695BC8">
        <w:trPr>
          <w:trHeight w:val="188"/>
        </w:trPr>
        <w:tc>
          <w:tcPr>
            <w:tcW w:w="2415" w:type="dxa"/>
          </w:tcPr>
          <w:p w14:paraId="7A8A6F36" w14:textId="77777777" w:rsidR="00B21BB4" w:rsidRPr="002B6BD1" w:rsidRDefault="00B21BB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Key message 4:</w:t>
            </w:r>
          </w:p>
        </w:tc>
        <w:tc>
          <w:tcPr>
            <w:tcW w:w="12505" w:type="dxa"/>
          </w:tcPr>
          <w:p w14:paraId="4E00B62D" w14:textId="688FF3A5" w:rsidR="00695BC8" w:rsidRPr="002B6BD1" w:rsidRDefault="0003141E" w:rsidP="00567063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  <w:sz w:val="24"/>
                <w:szCs w:val="24"/>
              </w:rPr>
              <w:t>A smaller proportion of patients receive PCI in a timely fashion</w:t>
            </w:r>
            <w:r w:rsidR="004856E3" w:rsidRPr="002B6BD1">
              <w:rPr>
                <w:rFonts w:ascii="Arial" w:hAnsi="Arial" w:cs="Arial"/>
                <w:sz w:val="24"/>
                <w:szCs w:val="24"/>
              </w:rPr>
              <w:t xml:space="preserve">. For STEMI, the proportion of patients receiving primary PCI </w:t>
            </w:r>
            <w:r w:rsidR="004856E3" w:rsidRPr="002B6BD1">
              <w:rPr>
                <w:rFonts w:ascii="Arial" w:eastAsia="Arial" w:hAnsi="Arial" w:cs="Arial"/>
                <w:sz w:val="24"/>
                <w:szCs w:val="24"/>
              </w:rPr>
              <w:t>fell to 30%</w:t>
            </w:r>
            <w:r w:rsidR="00234707" w:rsidRPr="002B6BD1">
              <w:rPr>
                <w:rFonts w:ascii="Arial" w:hAnsi="Arial" w:cs="Arial"/>
                <w:sz w:val="24"/>
                <w:szCs w:val="24"/>
              </w:rPr>
              <w:t xml:space="preserve"> within</w:t>
            </w:r>
            <w:r w:rsidR="00234707" w:rsidRPr="002B6BD1">
              <w:rPr>
                <w:rFonts w:ascii="Arial" w:eastAsia="Arial" w:hAnsi="Arial" w:cs="Arial"/>
                <w:sz w:val="24"/>
                <w:szCs w:val="24"/>
              </w:rPr>
              <w:t xml:space="preserve"> 120 minutes</w:t>
            </w:r>
            <w:r w:rsidR="004856E3" w:rsidRPr="002B6BD1">
              <w:rPr>
                <w:rFonts w:ascii="Arial" w:eastAsia="Arial" w:hAnsi="Arial" w:cs="Arial"/>
                <w:sz w:val="24"/>
                <w:szCs w:val="24"/>
              </w:rPr>
              <w:t>, and to 55% within 150 minutes</w:t>
            </w:r>
            <w:r w:rsidR="00234707" w:rsidRPr="002B6BD1">
              <w:rPr>
                <w:rFonts w:ascii="Arial" w:eastAsia="Arial" w:hAnsi="Arial" w:cs="Arial"/>
                <w:sz w:val="24"/>
                <w:szCs w:val="24"/>
              </w:rPr>
              <w:t>,</w:t>
            </w:r>
            <w:r w:rsidR="004856E3" w:rsidRPr="002B6BD1">
              <w:rPr>
                <w:rFonts w:ascii="Arial" w:eastAsia="Arial" w:hAnsi="Arial" w:cs="Arial"/>
                <w:sz w:val="24"/>
                <w:szCs w:val="24"/>
              </w:rPr>
              <w:t xml:space="preserve"> of calling for help</w:t>
            </w:r>
            <w:r w:rsidR="004856E3" w:rsidRPr="002B6BD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34707" w:rsidRPr="002B6BD1">
              <w:rPr>
                <w:rFonts w:ascii="Arial" w:hAnsi="Arial" w:cs="Arial"/>
                <w:sz w:val="24"/>
                <w:szCs w:val="24"/>
              </w:rPr>
              <w:t xml:space="preserve">For NSTEMI, whereas </w:t>
            </w:r>
            <w:r w:rsidR="004856E3" w:rsidRPr="002B6BD1">
              <w:rPr>
                <w:rFonts w:ascii="Arial" w:hAnsi="Arial" w:cs="Arial"/>
                <w:sz w:val="24"/>
                <w:szCs w:val="24"/>
              </w:rPr>
              <w:t xml:space="preserve">66% underwent angiography within 72 hours of admission to hospital </w:t>
            </w:r>
            <w:r w:rsidR="00234707" w:rsidRPr="002B6BD1">
              <w:rPr>
                <w:rFonts w:ascii="Arial" w:hAnsi="Arial" w:cs="Arial"/>
                <w:sz w:val="24"/>
                <w:szCs w:val="24"/>
              </w:rPr>
              <w:t>in 2020/21,</w:t>
            </w:r>
            <w:r w:rsidR="004856E3" w:rsidRPr="002B6BD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4707" w:rsidRPr="002B6BD1">
              <w:rPr>
                <w:rFonts w:ascii="Arial" w:hAnsi="Arial" w:cs="Arial"/>
                <w:sz w:val="24"/>
                <w:szCs w:val="24"/>
              </w:rPr>
              <w:t>performance has returned to pre-pandemic levels;</w:t>
            </w:r>
            <w:r w:rsidR="004856E3" w:rsidRPr="002B6BD1">
              <w:rPr>
                <w:rFonts w:ascii="Arial" w:hAnsi="Arial" w:cs="Arial"/>
                <w:sz w:val="24"/>
                <w:szCs w:val="24"/>
              </w:rPr>
              <w:t xml:space="preserve"> 56% of patients with NSTEMI received an angiogram within 72 hours </w:t>
            </w:r>
            <w:r w:rsidR="00234707" w:rsidRPr="002B6BD1">
              <w:rPr>
                <w:rFonts w:ascii="Arial" w:hAnsi="Arial" w:cs="Arial"/>
                <w:sz w:val="24"/>
                <w:szCs w:val="24"/>
              </w:rPr>
              <w:t>in 2021/22</w:t>
            </w:r>
            <w:r w:rsidR="004856E3" w:rsidRPr="002B6BD1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B21BB4" w:rsidRPr="002B6BD1" w14:paraId="768BCA8C" w14:textId="77777777" w:rsidTr="00695BC8">
        <w:trPr>
          <w:trHeight w:val="77"/>
        </w:trPr>
        <w:tc>
          <w:tcPr>
            <w:tcW w:w="2415" w:type="dxa"/>
          </w:tcPr>
          <w:p w14:paraId="6B69A1AE" w14:textId="77777777" w:rsidR="00B21BB4" w:rsidRPr="002B6BD1" w:rsidRDefault="00B21BB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6BD1">
              <w:rPr>
                <w:rFonts w:ascii="Arial" w:hAnsi="Arial" w:cs="Arial"/>
                <w:b/>
                <w:sz w:val="24"/>
                <w:szCs w:val="24"/>
              </w:rPr>
              <w:t>Key message 5:</w:t>
            </w:r>
          </w:p>
        </w:tc>
        <w:tc>
          <w:tcPr>
            <w:tcW w:w="12505" w:type="dxa"/>
          </w:tcPr>
          <w:p w14:paraId="35436BD0" w14:textId="074B9DB1" w:rsidR="00695BC8" w:rsidRPr="002B6BD1" w:rsidRDefault="004856E3" w:rsidP="00567063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  <w:sz w:val="24"/>
                <w:szCs w:val="24"/>
              </w:rPr>
              <w:t>A larger proportion of patients make their own way to hospital, rather than arriving by ambulance.</w:t>
            </w:r>
            <w:r w:rsidR="00F72F9B" w:rsidRPr="002B6BD1">
              <w:rPr>
                <w:rFonts w:ascii="Arial" w:hAnsi="Arial" w:cs="Arial"/>
                <w:sz w:val="24"/>
                <w:szCs w:val="24"/>
              </w:rPr>
              <w:t xml:space="preserve"> While this represents the minority (18.6%) of all cases of heart attack, there appears to be an upward trend in self-presentation during the year</w:t>
            </w:r>
            <w:r w:rsidR="0002684A" w:rsidRPr="002B6BD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F72F9B" w:rsidRPr="002B6BD1">
              <w:rPr>
                <w:rFonts w:ascii="Arial" w:hAnsi="Arial" w:cs="Arial"/>
                <w:sz w:val="24"/>
                <w:szCs w:val="24"/>
              </w:rPr>
              <w:t xml:space="preserve">For those with STEMI undergoing primary PCI, the monthly proportion who self-presented to hospital rose from 4% during April 2021 to 8% during March 2022. The proportion of patients requiring transfer between hospitals for primary PCI rose from 14% in 2020/21 to 18.7% in 2021/22. </w:t>
            </w:r>
            <w:r w:rsidR="009E75A7" w:rsidRPr="002B6BD1">
              <w:rPr>
                <w:rFonts w:ascii="Arial" w:hAnsi="Arial" w:cs="Arial"/>
                <w:sz w:val="24"/>
                <w:szCs w:val="24"/>
              </w:rPr>
              <w:t xml:space="preserve">These patients are less likely to receive timely primary PCI. </w:t>
            </w:r>
          </w:p>
        </w:tc>
      </w:tr>
      <w:tr w:rsidR="00695BC8" w:rsidRPr="002B6BD1" w14:paraId="003F388C" w14:textId="77777777" w:rsidTr="002B6BD1">
        <w:trPr>
          <w:trHeight w:val="147"/>
        </w:trPr>
        <w:tc>
          <w:tcPr>
            <w:tcW w:w="14920" w:type="dxa"/>
            <w:gridSpan w:val="2"/>
            <w:shd w:val="clear" w:color="auto" w:fill="BFBFBF" w:themeFill="background1" w:themeFillShade="BF"/>
          </w:tcPr>
          <w:p w14:paraId="6BE661B4" w14:textId="77777777" w:rsidR="00695BC8" w:rsidRPr="002B6BD1" w:rsidRDefault="00695BC8">
            <w:pPr>
              <w:rPr>
                <w:rFonts w:ascii="Arial" w:hAnsi="Arial" w:cs="Arial"/>
                <w:b/>
                <w:sz w:val="4"/>
                <w:szCs w:val="24"/>
              </w:rPr>
            </w:pPr>
          </w:p>
        </w:tc>
      </w:tr>
      <w:tr w:rsidR="00FC1B7D" w:rsidRPr="002B6BD1" w14:paraId="19564340" w14:textId="77777777" w:rsidTr="002B6BD1">
        <w:trPr>
          <w:trHeight w:val="198"/>
        </w:trPr>
        <w:tc>
          <w:tcPr>
            <w:tcW w:w="14920" w:type="dxa"/>
            <w:gridSpan w:val="2"/>
          </w:tcPr>
          <w:p w14:paraId="1468F39B" w14:textId="77777777" w:rsidR="00FC1B7D" w:rsidRPr="002B6BD1" w:rsidRDefault="00FC1B7D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2B6BD1">
              <w:rPr>
                <w:rFonts w:ascii="Arial" w:hAnsi="Arial" w:cs="Arial"/>
                <w:b/>
                <w:sz w:val="24"/>
                <w:szCs w:val="24"/>
              </w:rPr>
              <w:t>100 word</w:t>
            </w:r>
            <w:proofErr w:type="gramEnd"/>
            <w:r w:rsidRPr="002B6BD1">
              <w:rPr>
                <w:rFonts w:ascii="Arial" w:hAnsi="Arial" w:cs="Arial"/>
                <w:b/>
                <w:sz w:val="24"/>
                <w:szCs w:val="24"/>
              </w:rPr>
              <w:t xml:space="preserve"> summary</w:t>
            </w:r>
            <w:r w:rsidR="006C0AC6" w:rsidRPr="002B6BD1">
              <w:rPr>
                <w:rFonts w:ascii="Arial" w:hAnsi="Arial" w:cs="Arial"/>
                <w:b/>
                <w:sz w:val="24"/>
                <w:szCs w:val="24"/>
              </w:rPr>
              <w:t xml:space="preserve"> or abstract</w:t>
            </w:r>
            <w:r w:rsidRPr="002B6BD1">
              <w:rPr>
                <w:rFonts w:ascii="Arial" w:hAnsi="Arial" w:cs="Arial"/>
                <w:b/>
                <w:sz w:val="24"/>
                <w:szCs w:val="24"/>
              </w:rPr>
              <w:t xml:space="preserve"> of the report:</w:t>
            </w:r>
          </w:p>
        </w:tc>
      </w:tr>
      <w:tr w:rsidR="00FC1B7D" w:rsidRPr="002B6BD1" w14:paraId="27110A84" w14:textId="77777777" w:rsidTr="002B6BD1">
        <w:trPr>
          <w:trHeight w:val="1060"/>
        </w:trPr>
        <w:tc>
          <w:tcPr>
            <w:tcW w:w="14920" w:type="dxa"/>
            <w:gridSpan w:val="2"/>
          </w:tcPr>
          <w:p w14:paraId="2E9F0F0C" w14:textId="720A4106" w:rsidR="00695BC8" w:rsidRPr="002B6BD1" w:rsidRDefault="009A77CD">
            <w:pPr>
              <w:rPr>
                <w:rFonts w:ascii="Arial" w:hAnsi="Arial" w:cs="Arial"/>
                <w:sz w:val="24"/>
                <w:szCs w:val="24"/>
              </w:rPr>
            </w:pPr>
            <w:r w:rsidRPr="002B6BD1">
              <w:rPr>
                <w:rFonts w:ascii="Arial" w:hAnsi="Arial" w:cs="Arial"/>
              </w:rPr>
              <w:t xml:space="preserve">This report summarises the care provided within hospitals in England, </w:t>
            </w:r>
            <w:proofErr w:type="gramStart"/>
            <w:r w:rsidRPr="002B6BD1">
              <w:rPr>
                <w:rFonts w:ascii="Arial" w:hAnsi="Arial" w:cs="Arial"/>
              </w:rPr>
              <w:t>Wales</w:t>
            </w:r>
            <w:proofErr w:type="gramEnd"/>
            <w:r w:rsidRPr="002B6BD1">
              <w:rPr>
                <w:rFonts w:ascii="Arial" w:hAnsi="Arial" w:cs="Arial"/>
              </w:rPr>
              <w:t xml:space="preserve"> and Northern Ireland to over 85,000 people who suffered </w:t>
            </w:r>
            <w:r w:rsidR="0002684A" w:rsidRPr="002B6BD1">
              <w:rPr>
                <w:rFonts w:ascii="Arial" w:hAnsi="Arial" w:cs="Arial"/>
              </w:rPr>
              <w:t xml:space="preserve">a </w:t>
            </w:r>
            <w:r w:rsidRPr="002B6BD1">
              <w:rPr>
                <w:rFonts w:ascii="Arial" w:hAnsi="Arial" w:cs="Arial"/>
              </w:rPr>
              <w:t xml:space="preserve">heart attack during the 2021/22 financial year. Following the </w:t>
            </w:r>
            <w:r w:rsidR="00360A72" w:rsidRPr="002B6BD1">
              <w:rPr>
                <w:rFonts w:ascii="Arial" w:hAnsi="Arial" w:cs="Arial"/>
              </w:rPr>
              <w:t>l</w:t>
            </w:r>
            <w:r w:rsidRPr="002B6BD1">
              <w:rPr>
                <w:rFonts w:ascii="Arial" w:hAnsi="Arial" w:cs="Arial"/>
              </w:rPr>
              <w:t>ockdown periods of the previous year, the number of recorded heart attacks has returned to pre-pandemic levels.</w:t>
            </w:r>
            <w:r w:rsidR="00E201CD" w:rsidRPr="002B6BD1">
              <w:rPr>
                <w:rFonts w:ascii="Arial" w:hAnsi="Arial" w:cs="Arial"/>
              </w:rPr>
              <w:t xml:space="preserve"> While there have been improvements in some aspects of care – referral to cardiac rehabilitation, echocardiography, the rate of use of angiography in eligible patients – fewer patients are receiving coronary interventions in a timely fashion. </w:t>
            </w:r>
            <w:r w:rsidR="00AA197A" w:rsidRPr="002B6BD1">
              <w:rPr>
                <w:rFonts w:ascii="Arial" w:hAnsi="Arial" w:cs="Arial"/>
              </w:rPr>
              <w:t>The proportion of</w:t>
            </w:r>
            <w:r w:rsidR="00E201CD" w:rsidRPr="002B6BD1">
              <w:rPr>
                <w:rFonts w:ascii="Arial" w:hAnsi="Arial" w:cs="Arial"/>
              </w:rPr>
              <w:t xml:space="preserve"> patients </w:t>
            </w:r>
            <w:r w:rsidR="00AA197A" w:rsidRPr="002B6BD1">
              <w:rPr>
                <w:rFonts w:ascii="Arial" w:hAnsi="Arial" w:cs="Arial"/>
              </w:rPr>
              <w:t>that</w:t>
            </w:r>
            <w:r w:rsidR="00E201CD" w:rsidRPr="002B6BD1">
              <w:rPr>
                <w:rFonts w:ascii="Arial" w:hAnsi="Arial" w:cs="Arial"/>
              </w:rPr>
              <w:t xml:space="preserve"> </w:t>
            </w:r>
            <w:r w:rsidR="00AA197A" w:rsidRPr="002B6BD1">
              <w:rPr>
                <w:rFonts w:ascii="Arial" w:hAnsi="Arial" w:cs="Arial"/>
              </w:rPr>
              <w:t>self-present to hospital, rather than via ambulance services has increased.</w:t>
            </w:r>
          </w:p>
        </w:tc>
      </w:tr>
    </w:tbl>
    <w:p w14:paraId="53CD248C" w14:textId="435E65C0" w:rsidR="00B80991" w:rsidRPr="002B6BD1" w:rsidRDefault="00B80991" w:rsidP="002B6BD1">
      <w:pPr>
        <w:rPr>
          <w:rFonts w:ascii="Arial" w:hAnsi="Arial" w:cs="Arial"/>
        </w:rPr>
      </w:pPr>
    </w:p>
    <w:sectPr w:rsidR="00B80991" w:rsidRPr="002B6BD1" w:rsidSect="00B2681A">
      <w:headerReference w:type="default" r:id="rId9"/>
      <w:footerReference w:type="default" r:id="rId10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B9C0E" w14:textId="77777777" w:rsidR="00EA7D1A" w:rsidRDefault="00EA7D1A" w:rsidP="00B80991">
      <w:pPr>
        <w:spacing w:after="0" w:line="240" w:lineRule="auto"/>
      </w:pPr>
      <w:r>
        <w:separator/>
      </w:r>
    </w:p>
  </w:endnote>
  <w:endnote w:type="continuationSeparator" w:id="0">
    <w:p w14:paraId="47E8D9C6" w14:textId="77777777" w:rsidR="00EA7D1A" w:rsidRDefault="00EA7D1A" w:rsidP="00B80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1705238520"/>
      <w:docPartObj>
        <w:docPartGallery w:val="Page Numbers (Top of Page)"/>
        <w:docPartUnique/>
      </w:docPartObj>
    </w:sdtPr>
    <w:sdtEndPr/>
    <w:sdtContent>
      <w:p w14:paraId="0164957F" w14:textId="77777777" w:rsidR="006A1AA9" w:rsidRPr="002B6BD1" w:rsidRDefault="006A1AA9" w:rsidP="006A1AA9">
        <w:pPr>
          <w:pStyle w:val="Footer"/>
          <w:rPr>
            <w:rFonts w:ascii="Arial" w:hAnsi="Arial" w:cs="Arial"/>
            <w:sz w:val="18"/>
            <w:szCs w:val="18"/>
          </w:rPr>
        </w:pPr>
        <w:r w:rsidRPr="002B6BD1">
          <w:rPr>
            <w:rFonts w:ascii="Arial" w:hAnsi="Arial" w:cs="Arial"/>
            <w:sz w:val="18"/>
            <w:szCs w:val="18"/>
          </w:rPr>
          <w:t xml:space="preserve">Page </w:t>
        </w:r>
        <w:r w:rsidRPr="002B6BD1">
          <w:rPr>
            <w:rFonts w:ascii="Arial" w:hAnsi="Arial" w:cs="Arial"/>
            <w:bCs/>
            <w:sz w:val="18"/>
            <w:szCs w:val="18"/>
          </w:rPr>
          <w:fldChar w:fldCharType="begin"/>
        </w:r>
        <w:r w:rsidRPr="002B6BD1">
          <w:rPr>
            <w:rFonts w:ascii="Arial" w:hAnsi="Arial" w:cs="Arial"/>
            <w:bCs/>
            <w:sz w:val="18"/>
            <w:szCs w:val="18"/>
          </w:rPr>
          <w:instrText xml:space="preserve"> PAGE </w:instrText>
        </w:r>
        <w:r w:rsidRPr="002B6BD1">
          <w:rPr>
            <w:rFonts w:ascii="Arial" w:hAnsi="Arial" w:cs="Arial"/>
            <w:bCs/>
            <w:sz w:val="18"/>
            <w:szCs w:val="18"/>
          </w:rPr>
          <w:fldChar w:fldCharType="separate"/>
        </w:r>
        <w:r w:rsidR="00A22098" w:rsidRPr="002B6BD1">
          <w:rPr>
            <w:rFonts w:ascii="Arial" w:hAnsi="Arial" w:cs="Arial"/>
            <w:bCs/>
            <w:noProof/>
            <w:sz w:val="18"/>
            <w:szCs w:val="18"/>
          </w:rPr>
          <w:t>1</w:t>
        </w:r>
        <w:r w:rsidRPr="002B6BD1">
          <w:rPr>
            <w:rFonts w:ascii="Arial" w:hAnsi="Arial" w:cs="Arial"/>
            <w:bCs/>
            <w:sz w:val="18"/>
            <w:szCs w:val="18"/>
          </w:rPr>
          <w:fldChar w:fldCharType="end"/>
        </w:r>
        <w:r w:rsidRPr="002B6BD1">
          <w:rPr>
            <w:rFonts w:ascii="Arial" w:hAnsi="Arial" w:cs="Arial"/>
            <w:sz w:val="18"/>
            <w:szCs w:val="18"/>
          </w:rPr>
          <w:t xml:space="preserve"> of </w:t>
        </w:r>
        <w:r w:rsidRPr="002B6BD1">
          <w:rPr>
            <w:rFonts w:ascii="Arial" w:hAnsi="Arial" w:cs="Arial"/>
            <w:bCs/>
            <w:sz w:val="18"/>
            <w:szCs w:val="18"/>
          </w:rPr>
          <w:fldChar w:fldCharType="begin"/>
        </w:r>
        <w:r w:rsidRPr="002B6BD1">
          <w:rPr>
            <w:rFonts w:ascii="Arial" w:hAnsi="Arial" w:cs="Arial"/>
            <w:bCs/>
            <w:sz w:val="18"/>
            <w:szCs w:val="18"/>
          </w:rPr>
          <w:instrText xml:space="preserve"> NUMPAGES  </w:instrText>
        </w:r>
        <w:r w:rsidRPr="002B6BD1">
          <w:rPr>
            <w:rFonts w:ascii="Arial" w:hAnsi="Arial" w:cs="Arial"/>
            <w:bCs/>
            <w:sz w:val="18"/>
            <w:szCs w:val="18"/>
          </w:rPr>
          <w:fldChar w:fldCharType="separate"/>
        </w:r>
        <w:r w:rsidR="00A22098" w:rsidRPr="002B6BD1">
          <w:rPr>
            <w:rFonts w:ascii="Arial" w:hAnsi="Arial" w:cs="Arial"/>
            <w:bCs/>
            <w:noProof/>
            <w:sz w:val="18"/>
            <w:szCs w:val="18"/>
          </w:rPr>
          <w:t>1</w:t>
        </w:r>
        <w:r w:rsidRPr="002B6BD1">
          <w:rPr>
            <w:rFonts w:ascii="Arial" w:hAnsi="Arial" w:cs="Arial"/>
            <w:bCs/>
            <w:sz w:val="18"/>
            <w:szCs w:val="18"/>
          </w:rPr>
          <w:fldChar w:fldCharType="end"/>
        </w:r>
        <w:r w:rsidRPr="002B6BD1">
          <w:rPr>
            <w:rFonts w:ascii="Arial" w:hAnsi="Arial" w:cs="Arial"/>
            <w:bCs/>
            <w:sz w:val="18"/>
            <w:szCs w:val="18"/>
          </w:rPr>
          <w:t xml:space="preserve"> </w:t>
        </w:r>
        <w:r w:rsidRPr="002B6BD1">
          <w:rPr>
            <w:rFonts w:ascii="Arial" w:hAnsi="Arial" w:cs="Arial"/>
            <w:sz w:val="18"/>
            <w:szCs w:val="18"/>
          </w:rPr>
          <w:t>Report Key Messages 07-01-2019</w:t>
        </w:r>
      </w:p>
    </w:sdtContent>
  </w:sdt>
  <w:p w14:paraId="0AC7E72E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8CB77" w14:textId="77777777" w:rsidR="00EA7D1A" w:rsidRDefault="00EA7D1A" w:rsidP="00B80991">
      <w:pPr>
        <w:spacing w:after="0" w:line="240" w:lineRule="auto"/>
      </w:pPr>
      <w:r>
        <w:separator/>
      </w:r>
    </w:p>
  </w:footnote>
  <w:footnote w:type="continuationSeparator" w:id="0">
    <w:p w14:paraId="316F082E" w14:textId="77777777" w:rsidR="00EA7D1A" w:rsidRDefault="00EA7D1A" w:rsidP="00B809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7ED1D" w14:textId="7C26279E" w:rsidR="002B6BD1" w:rsidRDefault="002B6BD1" w:rsidP="002B6BD1">
    <w:pPr>
      <w:pStyle w:val="Header"/>
      <w:jc w:val="right"/>
    </w:pPr>
    <w:r>
      <w:rPr>
        <w:noProof/>
      </w:rPr>
      <w:drawing>
        <wp:inline distT="0" distB="0" distL="0" distR="0" wp14:anchorId="5ECAC737" wp14:editId="51FC07F3">
          <wp:extent cx="1476375" cy="810796"/>
          <wp:effectExtent l="0" t="0" r="0" b="8890"/>
          <wp:docPr id="1" name="Picture 1" descr="A black and red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ack and red logo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5331" cy="81571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FC6387" w14:textId="77777777" w:rsidR="002B6BD1" w:rsidRDefault="002B6BD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098"/>
    <w:rsid w:val="0002684A"/>
    <w:rsid w:val="0003141E"/>
    <w:rsid w:val="000747AD"/>
    <w:rsid w:val="00177F7E"/>
    <w:rsid w:val="001A52A1"/>
    <w:rsid w:val="001F2AE8"/>
    <w:rsid w:val="00234707"/>
    <w:rsid w:val="00297802"/>
    <w:rsid w:val="002B6BD1"/>
    <w:rsid w:val="00341C32"/>
    <w:rsid w:val="00360A72"/>
    <w:rsid w:val="0045151D"/>
    <w:rsid w:val="00457DD6"/>
    <w:rsid w:val="004856E3"/>
    <w:rsid w:val="004D0C1B"/>
    <w:rsid w:val="00565D59"/>
    <w:rsid w:val="00567063"/>
    <w:rsid w:val="00593D24"/>
    <w:rsid w:val="005B21FF"/>
    <w:rsid w:val="00695BC8"/>
    <w:rsid w:val="006A1AA9"/>
    <w:rsid w:val="006B2154"/>
    <w:rsid w:val="006C0AC6"/>
    <w:rsid w:val="007C6DB3"/>
    <w:rsid w:val="007D5DED"/>
    <w:rsid w:val="008465EE"/>
    <w:rsid w:val="00867FED"/>
    <w:rsid w:val="00893DE9"/>
    <w:rsid w:val="008B6008"/>
    <w:rsid w:val="008F1231"/>
    <w:rsid w:val="00910F80"/>
    <w:rsid w:val="009A77CD"/>
    <w:rsid w:val="009E75A7"/>
    <w:rsid w:val="00A22098"/>
    <w:rsid w:val="00A473F0"/>
    <w:rsid w:val="00AA197A"/>
    <w:rsid w:val="00B21BB4"/>
    <w:rsid w:val="00B2601C"/>
    <w:rsid w:val="00B2681A"/>
    <w:rsid w:val="00B45C50"/>
    <w:rsid w:val="00B80991"/>
    <w:rsid w:val="00BA1EE2"/>
    <w:rsid w:val="00C12F92"/>
    <w:rsid w:val="00CA33C9"/>
    <w:rsid w:val="00CD4020"/>
    <w:rsid w:val="00CE3EC6"/>
    <w:rsid w:val="00CF7300"/>
    <w:rsid w:val="00D47EFA"/>
    <w:rsid w:val="00D56B14"/>
    <w:rsid w:val="00D74CD8"/>
    <w:rsid w:val="00DC60E6"/>
    <w:rsid w:val="00E201CD"/>
    <w:rsid w:val="00E72547"/>
    <w:rsid w:val="00EA7D1A"/>
    <w:rsid w:val="00ED20E9"/>
    <w:rsid w:val="00F24FD5"/>
    <w:rsid w:val="00F72F9B"/>
    <w:rsid w:val="00FC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833DAE"/>
  <w15:docId w15:val="{E1E36AD0-D965-4DB4-B7A2-B9E4EF8A5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P\Downloads\Paper%204-%20Report%20key%20message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F54B6C4-5F6F-4810-ADD4-233E2738AF00}">
  <ds:schemaRefs>
    <ds:schemaRef ds:uri="http://www.w3.org/XML/1998/namespace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a99d81a8-c2eb-4d39-bffb-4a7fa7cee23c"/>
  </ds:schemaRefs>
</ds:datastoreItem>
</file>

<file path=customXml/itemProps2.xml><?xml version="1.0" encoding="utf-8"?>
<ds:datastoreItem xmlns:ds="http://schemas.openxmlformats.org/officeDocument/2006/customXml" ds:itemID="{217F8929-8116-4229-AE8A-A1816A0515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9DCE83-AF5B-441C-ABB1-03199B151C8F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Paper 4- Report key messages</Template>
  <TotalTime>3</TotalTime>
  <Pages>2</Pages>
  <Words>412</Words>
  <Characters>2355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Bradley, Anthony</dc:creator>
  <cp:lastModifiedBy>COLSTON, Sarah (NHS ARDEN AND GREATER EAST MIDLANDS COMMISSIONING SUPPORT UNIT)</cp:lastModifiedBy>
  <cp:revision>2</cp:revision>
  <cp:lastPrinted>2023-06-07T18:32:00Z</cp:lastPrinted>
  <dcterms:created xsi:type="dcterms:W3CDTF">2023-06-07T18:32:00Z</dcterms:created>
  <dcterms:modified xsi:type="dcterms:W3CDTF">2023-06-07T18:32:00Z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inDIP File ID">
    <vt:lpwstr>94572879-d33d-48dc-8347-b88dfb8b4a12</vt:lpwstr>
  </property>
  <property fmtid="{D5CDD505-2E9C-101B-9397-08002B2CF9AE}" pid="3" name="ContentTypeId">
    <vt:lpwstr>0x010100E484CC30C290334F8F2D4D6AFC9A12E5</vt:lpwstr>
  </property>
</Properties>
</file>