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3390"/>
        <w:gridCol w:w="2546"/>
        <w:gridCol w:w="1155"/>
        <w:gridCol w:w="1137"/>
        <w:gridCol w:w="1467"/>
        <w:gridCol w:w="2588"/>
        <w:gridCol w:w="2291"/>
      </w:tblGrid>
      <w:tr w:rsidR="00431444" w:rsidRPr="00861042" w14:paraId="25558CE3" w14:textId="77777777" w:rsidTr="678400E4">
        <w:trPr>
          <w:trHeight w:val="394"/>
        </w:trPr>
        <w:tc>
          <w:tcPr>
            <w:tcW w:w="0" w:type="auto"/>
            <w:gridSpan w:val="8"/>
            <w:shd w:val="clear" w:color="auto" w:fill="BDD6EE" w:themeFill="accent5" w:themeFillTint="66"/>
            <w:vAlign w:val="center"/>
          </w:tcPr>
          <w:p w14:paraId="075A1147" w14:textId="77777777" w:rsidR="007E5382" w:rsidRPr="00861042" w:rsidRDefault="00431444" w:rsidP="00C7466A">
            <w:pPr>
              <w:jc w:val="center"/>
              <w:rPr>
                <w:rFonts w:ascii="Arial" w:hAnsi="Arial" w:cs="Arial"/>
                <w:b/>
                <w:szCs w:val="20"/>
              </w:rPr>
            </w:pPr>
            <w:r w:rsidRPr="00861042">
              <w:rPr>
                <w:rFonts w:ascii="Arial" w:hAnsi="Arial" w:cs="Arial"/>
                <w:b/>
                <w:szCs w:val="20"/>
              </w:rPr>
              <w:t xml:space="preserve">Provider line of sight table </w:t>
            </w:r>
            <w:r w:rsidR="00DB28AD" w:rsidRPr="00861042">
              <w:rPr>
                <w:rFonts w:ascii="Arial" w:hAnsi="Arial" w:cs="Arial"/>
                <w:b/>
                <w:szCs w:val="20"/>
              </w:rPr>
              <w:t xml:space="preserve">on report recommendations </w:t>
            </w:r>
            <w:r w:rsidRPr="00861042">
              <w:rPr>
                <w:rFonts w:ascii="Arial" w:hAnsi="Arial" w:cs="Arial"/>
                <w:b/>
                <w:szCs w:val="20"/>
              </w:rPr>
              <w:t>for submission to the funders</w:t>
            </w:r>
          </w:p>
        </w:tc>
      </w:tr>
      <w:tr w:rsidR="00232B28" w:rsidRPr="00861042" w14:paraId="5ABCE979" w14:textId="77777777" w:rsidTr="00861042">
        <w:tc>
          <w:tcPr>
            <w:tcW w:w="15388" w:type="dxa"/>
            <w:gridSpan w:val="8"/>
            <w:shd w:val="clear" w:color="auto" w:fill="BDD6EE" w:themeFill="accent5" w:themeFillTint="66"/>
          </w:tcPr>
          <w:p w14:paraId="5E0AADDD" w14:textId="77777777" w:rsidR="00232B28" w:rsidRPr="00861042" w:rsidRDefault="00232B28" w:rsidP="00C7466A">
            <w:pPr>
              <w:rPr>
                <w:rFonts w:ascii="Arial" w:hAnsi="Arial" w:cs="Arial"/>
                <w:b/>
              </w:rPr>
            </w:pPr>
            <w:r w:rsidRPr="00861042">
              <w:rPr>
                <w:rFonts w:ascii="Arial" w:hAnsi="Arial" w:cs="Arial"/>
                <w:b/>
              </w:rPr>
              <w:t xml:space="preserve">Please can the provider complete the following details </w:t>
            </w:r>
            <w:r w:rsidR="00BC1CB7" w:rsidRPr="00861042">
              <w:rPr>
                <w:rFonts w:ascii="Arial" w:hAnsi="Arial" w:cs="Arial"/>
                <w:b/>
              </w:rPr>
              <w:t>to allow for ease of access and rapid review</w:t>
            </w:r>
          </w:p>
        </w:tc>
      </w:tr>
      <w:tr w:rsidR="00B84388" w:rsidRPr="00861042" w14:paraId="35500039" w14:textId="77777777" w:rsidTr="00861042">
        <w:trPr>
          <w:trHeight w:val="566"/>
        </w:trPr>
        <w:tc>
          <w:tcPr>
            <w:tcW w:w="7938" w:type="dxa"/>
            <w:gridSpan w:val="4"/>
            <w:shd w:val="clear" w:color="auto" w:fill="DEEAF6" w:themeFill="accent5" w:themeFillTint="33"/>
            <w:vAlign w:val="center"/>
          </w:tcPr>
          <w:p w14:paraId="20BDCD77" w14:textId="4C0F9240" w:rsidR="00C3059E" w:rsidRPr="00861042" w:rsidRDefault="00C3059E" w:rsidP="00C3059E">
            <w:pPr>
              <w:pStyle w:val="ListParagraph"/>
              <w:spacing w:after="0" w:line="240" w:lineRule="auto"/>
              <w:ind w:left="0"/>
              <w:rPr>
                <w:rFonts w:ascii="Arial" w:eastAsia="Times New Roman" w:hAnsi="Arial" w:cs="Arial"/>
                <w:b/>
              </w:rPr>
            </w:pPr>
            <w:r w:rsidRPr="00861042">
              <w:rPr>
                <w:rFonts w:ascii="Arial" w:eastAsia="Times New Roman" w:hAnsi="Arial" w:cs="Arial"/>
                <w:b/>
              </w:rPr>
              <w:t>Project and Title of report</w:t>
            </w:r>
          </w:p>
        </w:tc>
        <w:tc>
          <w:tcPr>
            <w:tcW w:w="7450" w:type="dxa"/>
            <w:gridSpan w:val="4"/>
            <w:shd w:val="clear" w:color="auto" w:fill="F2F2F2" w:themeFill="background1" w:themeFillShade="F2"/>
          </w:tcPr>
          <w:p w14:paraId="69EB314D" w14:textId="77777777" w:rsidR="001877F1" w:rsidRPr="00861042" w:rsidRDefault="001877F1" w:rsidP="001877F1">
            <w:pPr>
              <w:rPr>
                <w:rFonts w:ascii="Arial" w:eastAsiaTheme="minorHAnsi" w:hAnsi="Arial" w:cs="Arial"/>
                <w:b/>
                <w:bCs/>
              </w:rPr>
            </w:pPr>
            <w:r w:rsidRPr="00861042">
              <w:rPr>
                <w:rFonts w:ascii="Arial" w:eastAsiaTheme="minorHAnsi" w:hAnsi="Arial" w:cs="Arial"/>
                <w:b/>
                <w:bCs/>
              </w:rPr>
              <w:t xml:space="preserve">AUDIT: </w:t>
            </w:r>
            <w:r w:rsidRPr="00861042">
              <w:rPr>
                <w:rFonts w:ascii="Arial" w:eastAsiaTheme="minorHAnsi" w:hAnsi="Arial" w:cs="Arial"/>
                <w:sz w:val="22"/>
                <w:szCs w:val="22"/>
                <w:lang w:eastAsia="en-US"/>
              </w:rPr>
              <w:t>Myocardial Ischaemia National Audit Project (MINAP)</w:t>
            </w:r>
          </w:p>
          <w:p w14:paraId="4AD054BF" w14:textId="7ECF3F32" w:rsidR="00B15A69" w:rsidRPr="00861042" w:rsidRDefault="001877F1" w:rsidP="001877F1">
            <w:pPr>
              <w:rPr>
                <w:rFonts w:ascii="Arial" w:hAnsi="Arial" w:cs="Arial"/>
                <w:b/>
                <w:i/>
                <w:iCs/>
                <w:color w:val="000000"/>
                <w:sz w:val="22"/>
                <w:szCs w:val="22"/>
              </w:rPr>
            </w:pPr>
            <w:r w:rsidRPr="00861042">
              <w:rPr>
                <w:rFonts w:ascii="Arial" w:eastAsiaTheme="minorHAnsi" w:hAnsi="Arial" w:cs="Arial"/>
                <w:b/>
                <w:bCs/>
                <w:sz w:val="22"/>
                <w:szCs w:val="22"/>
              </w:rPr>
              <w:t xml:space="preserve">TITLE: </w:t>
            </w:r>
            <w:r w:rsidRPr="00861042">
              <w:rPr>
                <w:rFonts w:ascii="Arial" w:eastAsiaTheme="minorHAnsi" w:hAnsi="Arial" w:cs="Arial"/>
                <w:sz w:val="22"/>
                <w:szCs w:val="22"/>
              </w:rPr>
              <w:t>“</w:t>
            </w:r>
            <w:r w:rsidRPr="00861042">
              <w:rPr>
                <w:rFonts w:ascii="Arial" w:eastAsiaTheme="minorHAnsi" w:hAnsi="Arial" w:cs="Arial"/>
                <w:sz w:val="22"/>
                <w:szCs w:val="22"/>
                <w:lang w:eastAsia="en-US"/>
              </w:rPr>
              <w:t>Management of Heart Attack:</w:t>
            </w:r>
            <w:r w:rsidRPr="00861042">
              <w:rPr>
                <w:rFonts w:ascii="Arial" w:eastAsiaTheme="minorHAnsi" w:hAnsi="Arial" w:cs="Arial"/>
                <w:sz w:val="22"/>
                <w:szCs w:val="22"/>
              </w:rPr>
              <w:t xml:space="preserve"> </w:t>
            </w:r>
            <w:r w:rsidRPr="00861042">
              <w:rPr>
                <w:rFonts w:ascii="Arial" w:eastAsiaTheme="minorHAnsi" w:hAnsi="Arial" w:cs="Arial"/>
                <w:sz w:val="22"/>
                <w:szCs w:val="22"/>
                <w:lang w:eastAsia="en-US"/>
              </w:rPr>
              <w:t>analyses from the Myocardial Ischaemia National Audit Project (MINAP) and the National Audit of Percutaneous Coronary Intervention (NAPCI)</w:t>
            </w:r>
            <w:r w:rsidRPr="00861042">
              <w:rPr>
                <w:rFonts w:ascii="Arial" w:eastAsiaTheme="minorHAnsi" w:hAnsi="Arial" w:cs="Arial"/>
                <w:sz w:val="22"/>
                <w:szCs w:val="22"/>
              </w:rPr>
              <w:t xml:space="preserve"> </w:t>
            </w:r>
            <w:r w:rsidRPr="00861042">
              <w:rPr>
                <w:rFonts w:ascii="Arial" w:eastAsiaTheme="minorHAnsi" w:hAnsi="Arial" w:cs="Arial"/>
                <w:sz w:val="22"/>
                <w:szCs w:val="22"/>
                <w:lang w:eastAsia="en-US"/>
              </w:rPr>
              <w:t>2023 Summary Report (2021/22 data)</w:t>
            </w:r>
            <w:r w:rsidRPr="00861042">
              <w:rPr>
                <w:rFonts w:ascii="Arial" w:eastAsiaTheme="minorHAnsi" w:hAnsi="Arial" w:cs="Arial"/>
                <w:sz w:val="22"/>
                <w:szCs w:val="22"/>
              </w:rPr>
              <w:t>”</w:t>
            </w:r>
          </w:p>
        </w:tc>
      </w:tr>
      <w:tr w:rsidR="00B84388" w:rsidRPr="00861042" w14:paraId="12E607D0" w14:textId="77777777" w:rsidTr="00861042">
        <w:trPr>
          <w:trHeight w:val="140"/>
        </w:trPr>
        <w:tc>
          <w:tcPr>
            <w:tcW w:w="7938" w:type="dxa"/>
            <w:gridSpan w:val="4"/>
            <w:shd w:val="clear" w:color="auto" w:fill="DEEAF6" w:themeFill="accent5" w:themeFillTint="33"/>
          </w:tcPr>
          <w:p w14:paraId="59256691" w14:textId="77777777" w:rsidR="00232B28" w:rsidRPr="00861042" w:rsidRDefault="00232B28" w:rsidP="00C7466A">
            <w:pPr>
              <w:pStyle w:val="ListParagraph"/>
              <w:numPr>
                <w:ilvl w:val="0"/>
                <w:numId w:val="4"/>
              </w:numPr>
              <w:spacing w:after="0" w:line="240" w:lineRule="auto"/>
              <w:rPr>
                <w:rFonts w:ascii="Arial" w:hAnsi="Arial" w:cs="Arial"/>
                <w:b/>
              </w:rPr>
            </w:pPr>
            <w:r w:rsidRPr="00861042">
              <w:rPr>
                <w:rFonts w:ascii="Arial" w:eastAsia="Times New Roman" w:hAnsi="Arial" w:cs="Arial"/>
              </w:rPr>
              <w:t xml:space="preserve">What </w:t>
            </w:r>
            <w:r w:rsidR="00BC1CB7" w:rsidRPr="00861042">
              <w:rPr>
                <w:rFonts w:ascii="Arial" w:eastAsia="Times New Roman" w:hAnsi="Arial" w:cs="Arial"/>
              </w:rPr>
              <w:t>is the</w:t>
            </w:r>
            <w:r w:rsidRPr="00861042">
              <w:rPr>
                <w:rFonts w:ascii="Arial" w:eastAsia="Times New Roman" w:hAnsi="Arial" w:cs="Arial"/>
              </w:rPr>
              <w:t xml:space="preserve"> report looking at/what </w:t>
            </w:r>
            <w:r w:rsidR="00DF7380" w:rsidRPr="00861042">
              <w:rPr>
                <w:rFonts w:ascii="Arial" w:eastAsia="Times New Roman" w:hAnsi="Arial" w:cs="Arial"/>
              </w:rPr>
              <w:t>is the project</w:t>
            </w:r>
            <w:r w:rsidRPr="00861042">
              <w:rPr>
                <w:rFonts w:ascii="Arial" w:eastAsia="Times New Roman" w:hAnsi="Arial" w:cs="Arial"/>
              </w:rPr>
              <w:t xml:space="preserve"> measuring</w:t>
            </w:r>
            <w:r w:rsidR="00BC1CB7" w:rsidRPr="00861042">
              <w:rPr>
                <w:rFonts w:ascii="Arial" w:eastAsia="Times New Roman" w:hAnsi="Arial" w:cs="Arial"/>
              </w:rPr>
              <w:t>?</w:t>
            </w:r>
          </w:p>
          <w:p w14:paraId="0ADCBD0B" w14:textId="77777777" w:rsidR="00BC1CB7" w:rsidRPr="00861042" w:rsidRDefault="00BC1CB7" w:rsidP="00C7466A">
            <w:pPr>
              <w:pStyle w:val="ListParagraph"/>
              <w:spacing w:after="0" w:line="240" w:lineRule="auto"/>
              <w:rPr>
                <w:rFonts w:ascii="Arial" w:hAnsi="Arial" w:cs="Arial"/>
                <w:b/>
              </w:rPr>
            </w:pPr>
          </w:p>
        </w:tc>
        <w:tc>
          <w:tcPr>
            <w:tcW w:w="7450" w:type="dxa"/>
            <w:gridSpan w:val="4"/>
            <w:shd w:val="clear" w:color="auto" w:fill="F2F2F2" w:themeFill="background1" w:themeFillShade="F2"/>
          </w:tcPr>
          <w:p w14:paraId="514D05D8" w14:textId="3151DF12" w:rsidR="00232B28" w:rsidRPr="00861042" w:rsidRDefault="00B15A69" w:rsidP="00C7466A">
            <w:pPr>
              <w:rPr>
                <w:rFonts w:ascii="Arial" w:hAnsi="Arial" w:cs="Arial"/>
                <w:bCs/>
                <w:sz w:val="22"/>
                <w:szCs w:val="22"/>
              </w:rPr>
            </w:pPr>
            <w:r w:rsidRPr="00861042">
              <w:rPr>
                <w:rFonts w:ascii="Arial" w:hAnsi="Arial" w:cs="Arial"/>
                <w:bCs/>
                <w:sz w:val="22"/>
                <w:szCs w:val="22"/>
              </w:rPr>
              <w:t>Care provided to patients admitted to hospital with acute coronary syndrome (heart attack)</w:t>
            </w:r>
            <w:r w:rsidR="00037383" w:rsidRPr="00861042">
              <w:rPr>
                <w:rFonts w:ascii="Arial" w:hAnsi="Arial" w:cs="Arial"/>
                <w:bCs/>
                <w:sz w:val="22"/>
                <w:szCs w:val="22"/>
              </w:rPr>
              <w:t xml:space="preserve"> – both ST-segment elevation myocardial</w:t>
            </w:r>
            <w:r w:rsidR="0021652D" w:rsidRPr="00861042">
              <w:rPr>
                <w:rFonts w:ascii="Arial" w:hAnsi="Arial" w:cs="Arial"/>
                <w:bCs/>
                <w:sz w:val="22"/>
                <w:szCs w:val="22"/>
              </w:rPr>
              <w:t xml:space="preserve"> infarction (STEMI) and non-ST-s</w:t>
            </w:r>
            <w:r w:rsidR="00037383" w:rsidRPr="00861042">
              <w:rPr>
                <w:rFonts w:ascii="Arial" w:hAnsi="Arial" w:cs="Arial"/>
                <w:bCs/>
                <w:sz w:val="22"/>
                <w:szCs w:val="22"/>
              </w:rPr>
              <w:t>egment myocardial infarction (NSTEMI)</w:t>
            </w:r>
          </w:p>
        </w:tc>
      </w:tr>
      <w:tr w:rsidR="00B84388" w:rsidRPr="00861042" w14:paraId="50AFDDD0" w14:textId="77777777" w:rsidTr="00861042">
        <w:trPr>
          <w:trHeight w:val="220"/>
        </w:trPr>
        <w:tc>
          <w:tcPr>
            <w:tcW w:w="7938" w:type="dxa"/>
            <w:gridSpan w:val="4"/>
            <w:shd w:val="clear" w:color="auto" w:fill="DEEAF6" w:themeFill="accent5" w:themeFillTint="33"/>
          </w:tcPr>
          <w:p w14:paraId="1DC66FF6" w14:textId="77777777" w:rsidR="00232B28" w:rsidRPr="00861042" w:rsidRDefault="00232B28" w:rsidP="00C7466A">
            <w:pPr>
              <w:pStyle w:val="ListParagraph"/>
              <w:numPr>
                <w:ilvl w:val="0"/>
                <w:numId w:val="4"/>
              </w:numPr>
              <w:spacing w:after="0" w:line="240" w:lineRule="auto"/>
              <w:rPr>
                <w:rFonts w:ascii="Arial" w:hAnsi="Arial" w:cs="Arial"/>
                <w:b/>
              </w:rPr>
            </w:pPr>
            <w:r w:rsidRPr="00861042">
              <w:rPr>
                <w:rFonts w:ascii="Arial" w:eastAsia="Times New Roman" w:hAnsi="Arial" w:cs="Arial"/>
              </w:rPr>
              <w:t>What countries are covered</w:t>
            </w:r>
            <w:r w:rsidR="00BC1CB7" w:rsidRPr="00861042">
              <w:rPr>
                <w:rFonts w:ascii="Arial" w:eastAsia="Times New Roman" w:hAnsi="Arial" w:cs="Arial"/>
              </w:rPr>
              <w:t>?</w:t>
            </w:r>
          </w:p>
          <w:p w14:paraId="60C1E916" w14:textId="77777777" w:rsidR="00BC1CB7" w:rsidRPr="00861042" w:rsidRDefault="00BC1CB7" w:rsidP="00C7466A">
            <w:pPr>
              <w:pStyle w:val="ListParagraph"/>
              <w:spacing w:after="0" w:line="240" w:lineRule="auto"/>
              <w:rPr>
                <w:rFonts w:ascii="Arial" w:hAnsi="Arial" w:cs="Arial"/>
                <w:b/>
              </w:rPr>
            </w:pPr>
          </w:p>
        </w:tc>
        <w:tc>
          <w:tcPr>
            <w:tcW w:w="7450" w:type="dxa"/>
            <w:gridSpan w:val="4"/>
            <w:shd w:val="clear" w:color="auto" w:fill="F2F2F2" w:themeFill="background1" w:themeFillShade="F2"/>
          </w:tcPr>
          <w:p w14:paraId="0A17DE17" w14:textId="77777777" w:rsidR="00232B28" w:rsidRPr="00861042" w:rsidRDefault="00B15A69" w:rsidP="00C7466A">
            <w:pPr>
              <w:tabs>
                <w:tab w:val="left" w:pos="1155"/>
              </w:tabs>
              <w:rPr>
                <w:rFonts w:ascii="Arial" w:hAnsi="Arial" w:cs="Arial"/>
                <w:bCs/>
                <w:sz w:val="22"/>
                <w:szCs w:val="22"/>
              </w:rPr>
            </w:pPr>
            <w:r w:rsidRPr="00861042">
              <w:rPr>
                <w:rFonts w:ascii="Arial" w:hAnsi="Arial" w:cs="Arial"/>
                <w:bCs/>
                <w:sz w:val="22"/>
                <w:szCs w:val="22"/>
              </w:rPr>
              <w:t>England, Northern Ireland, Wales.</w:t>
            </w:r>
            <w:r w:rsidR="007D795F" w:rsidRPr="00861042">
              <w:rPr>
                <w:rFonts w:ascii="Arial" w:hAnsi="Arial" w:cs="Arial"/>
                <w:bCs/>
                <w:sz w:val="22"/>
                <w:szCs w:val="22"/>
              </w:rPr>
              <w:tab/>
            </w:r>
          </w:p>
        </w:tc>
      </w:tr>
      <w:tr w:rsidR="00B84388" w:rsidRPr="00861042" w14:paraId="4EC65327" w14:textId="77777777" w:rsidTr="00861042">
        <w:trPr>
          <w:trHeight w:val="220"/>
        </w:trPr>
        <w:tc>
          <w:tcPr>
            <w:tcW w:w="7938" w:type="dxa"/>
            <w:gridSpan w:val="4"/>
            <w:shd w:val="clear" w:color="auto" w:fill="DEEAF6" w:themeFill="accent5" w:themeFillTint="33"/>
          </w:tcPr>
          <w:p w14:paraId="05DD5D04" w14:textId="77777777" w:rsidR="00232B28" w:rsidRPr="00861042" w:rsidRDefault="00232B28" w:rsidP="00C7466A">
            <w:pPr>
              <w:numPr>
                <w:ilvl w:val="0"/>
                <w:numId w:val="4"/>
              </w:numPr>
              <w:rPr>
                <w:rFonts w:ascii="Arial" w:hAnsi="Arial" w:cs="Arial"/>
                <w:b/>
                <w:sz w:val="22"/>
                <w:szCs w:val="22"/>
              </w:rPr>
            </w:pPr>
            <w:r w:rsidRPr="00861042">
              <w:rPr>
                <w:rFonts w:ascii="Arial" w:hAnsi="Arial" w:cs="Arial"/>
                <w:sz w:val="22"/>
                <w:szCs w:val="22"/>
              </w:rPr>
              <w:t xml:space="preserve">The number of previous </w:t>
            </w:r>
            <w:r w:rsidR="00DF7380" w:rsidRPr="00861042">
              <w:rPr>
                <w:rFonts w:ascii="Arial" w:hAnsi="Arial" w:cs="Arial"/>
                <w:sz w:val="22"/>
                <w:szCs w:val="22"/>
              </w:rPr>
              <w:t>project</w:t>
            </w:r>
            <w:r w:rsidRPr="00861042">
              <w:rPr>
                <w:rFonts w:ascii="Arial" w:hAnsi="Arial" w:cs="Arial"/>
                <w:sz w:val="22"/>
                <w:szCs w:val="22"/>
              </w:rPr>
              <w:t>s (</w:t>
            </w:r>
            <w:proofErr w:type="gramStart"/>
            <w:r w:rsidRPr="00861042">
              <w:rPr>
                <w:rFonts w:ascii="Arial" w:hAnsi="Arial" w:cs="Arial"/>
                <w:sz w:val="22"/>
                <w:szCs w:val="22"/>
              </w:rPr>
              <w:t>e.g.</w:t>
            </w:r>
            <w:proofErr w:type="gramEnd"/>
            <w:r w:rsidRPr="00861042">
              <w:rPr>
                <w:rFonts w:ascii="Arial" w:hAnsi="Arial" w:cs="Arial"/>
                <w:sz w:val="22"/>
                <w:szCs w:val="22"/>
              </w:rPr>
              <w:t xml:space="preserve"> whether it is the 4</w:t>
            </w:r>
            <w:r w:rsidRPr="00861042">
              <w:rPr>
                <w:rFonts w:ascii="Arial" w:hAnsi="Arial" w:cs="Arial"/>
                <w:sz w:val="22"/>
                <w:szCs w:val="22"/>
                <w:vertAlign w:val="superscript"/>
              </w:rPr>
              <w:t>th</w:t>
            </w:r>
            <w:r w:rsidRPr="00861042">
              <w:rPr>
                <w:rFonts w:ascii="Arial" w:hAnsi="Arial" w:cs="Arial"/>
                <w:sz w:val="22"/>
                <w:szCs w:val="22"/>
              </w:rPr>
              <w:t xml:space="preserve"> </w:t>
            </w:r>
            <w:r w:rsidR="00DF7380" w:rsidRPr="00861042">
              <w:rPr>
                <w:rFonts w:ascii="Arial" w:hAnsi="Arial" w:cs="Arial"/>
                <w:sz w:val="22"/>
                <w:szCs w:val="22"/>
              </w:rPr>
              <w:t>project</w:t>
            </w:r>
            <w:r w:rsidRPr="00861042">
              <w:rPr>
                <w:rFonts w:ascii="Arial" w:hAnsi="Arial" w:cs="Arial"/>
                <w:sz w:val="22"/>
                <w:szCs w:val="22"/>
              </w:rPr>
              <w:t xml:space="preserve"> or if it is a continuous </w:t>
            </w:r>
            <w:r w:rsidR="00DF7380" w:rsidRPr="00861042">
              <w:rPr>
                <w:rFonts w:ascii="Arial" w:hAnsi="Arial" w:cs="Arial"/>
                <w:sz w:val="22"/>
                <w:szCs w:val="22"/>
              </w:rPr>
              <w:t>project</w:t>
            </w:r>
            <w:r w:rsidRPr="00861042">
              <w:rPr>
                <w:rFonts w:ascii="Arial" w:hAnsi="Arial" w:cs="Arial"/>
                <w:sz w:val="22"/>
                <w:szCs w:val="22"/>
              </w:rPr>
              <w:t>)</w:t>
            </w:r>
          </w:p>
          <w:p w14:paraId="18461DE0" w14:textId="77777777" w:rsidR="00BC1CB7" w:rsidRPr="00861042" w:rsidRDefault="00BC1CB7" w:rsidP="00C7466A">
            <w:pPr>
              <w:ind w:left="720"/>
              <w:rPr>
                <w:rFonts w:ascii="Arial" w:hAnsi="Arial" w:cs="Arial"/>
                <w:b/>
                <w:sz w:val="22"/>
                <w:szCs w:val="22"/>
              </w:rPr>
            </w:pPr>
          </w:p>
        </w:tc>
        <w:tc>
          <w:tcPr>
            <w:tcW w:w="7450" w:type="dxa"/>
            <w:gridSpan w:val="4"/>
            <w:shd w:val="clear" w:color="auto" w:fill="F2F2F2" w:themeFill="background1" w:themeFillShade="F2"/>
          </w:tcPr>
          <w:p w14:paraId="54F4CF6C" w14:textId="05BEA80E" w:rsidR="00232B28" w:rsidRPr="00861042" w:rsidRDefault="00B15A69" w:rsidP="00C7466A">
            <w:pPr>
              <w:rPr>
                <w:rFonts w:ascii="Arial" w:hAnsi="Arial" w:cs="Arial"/>
                <w:bCs/>
                <w:sz w:val="22"/>
                <w:szCs w:val="22"/>
              </w:rPr>
            </w:pPr>
            <w:r w:rsidRPr="00861042">
              <w:rPr>
                <w:rFonts w:ascii="Arial" w:hAnsi="Arial" w:cs="Arial"/>
                <w:bCs/>
                <w:sz w:val="22"/>
                <w:szCs w:val="22"/>
              </w:rPr>
              <w:t>Continuous project</w:t>
            </w:r>
            <w:r w:rsidR="00794C3F" w:rsidRPr="00861042">
              <w:rPr>
                <w:rFonts w:ascii="Arial" w:hAnsi="Arial" w:cs="Arial"/>
                <w:bCs/>
                <w:sz w:val="22"/>
                <w:szCs w:val="22"/>
              </w:rPr>
              <w:t xml:space="preserve"> (since 2001)</w:t>
            </w:r>
          </w:p>
        </w:tc>
      </w:tr>
      <w:tr w:rsidR="00B84388" w:rsidRPr="00861042" w14:paraId="7FBA1CDB" w14:textId="77777777" w:rsidTr="00861042">
        <w:trPr>
          <w:trHeight w:val="220"/>
        </w:trPr>
        <w:tc>
          <w:tcPr>
            <w:tcW w:w="7938" w:type="dxa"/>
            <w:gridSpan w:val="4"/>
            <w:shd w:val="clear" w:color="auto" w:fill="DEEAF6" w:themeFill="accent5" w:themeFillTint="33"/>
          </w:tcPr>
          <w:p w14:paraId="2970CEBE" w14:textId="77777777" w:rsidR="00232B28" w:rsidRPr="00861042" w:rsidRDefault="00232B28" w:rsidP="00C7466A">
            <w:pPr>
              <w:numPr>
                <w:ilvl w:val="0"/>
                <w:numId w:val="4"/>
              </w:numPr>
              <w:rPr>
                <w:rFonts w:ascii="Arial" w:hAnsi="Arial" w:cs="Arial"/>
                <w:b/>
                <w:sz w:val="22"/>
                <w:szCs w:val="22"/>
              </w:rPr>
            </w:pPr>
            <w:r w:rsidRPr="00861042">
              <w:rPr>
                <w:rFonts w:ascii="Arial" w:hAnsi="Arial" w:cs="Arial"/>
                <w:sz w:val="22"/>
                <w:szCs w:val="22"/>
              </w:rPr>
              <w:t xml:space="preserve">The date the data is related to (please include the start and end points – </w:t>
            </w:r>
            <w:proofErr w:type="gramStart"/>
            <w:r w:rsidRPr="00861042">
              <w:rPr>
                <w:rFonts w:ascii="Arial" w:hAnsi="Arial" w:cs="Arial"/>
                <w:sz w:val="22"/>
                <w:szCs w:val="22"/>
              </w:rPr>
              <w:t>e.g.</w:t>
            </w:r>
            <w:proofErr w:type="gramEnd"/>
            <w:r w:rsidRPr="00861042">
              <w:rPr>
                <w:rFonts w:ascii="Arial" w:hAnsi="Arial" w:cs="Arial"/>
                <w:sz w:val="22"/>
                <w:szCs w:val="22"/>
              </w:rPr>
              <w:t xml:space="preserve"> from 1 January 2016 to 1 October 2016)</w:t>
            </w:r>
          </w:p>
          <w:p w14:paraId="67B8251D" w14:textId="77777777" w:rsidR="00BC1CB7" w:rsidRPr="00861042" w:rsidRDefault="00BC1CB7" w:rsidP="00C7466A">
            <w:pPr>
              <w:ind w:left="720"/>
              <w:rPr>
                <w:rFonts w:ascii="Arial" w:hAnsi="Arial" w:cs="Arial"/>
                <w:b/>
                <w:sz w:val="22"/>
                <w:szCs w:val="22"/>
              </w:rPr>
            </w:pPr>
          </w:p>
        </w:tc>
        <w:tc>
          <w:tcPr>
            <w:tcW w:w="7450" w:type="dxa"/>
            <w:gridSpan w:val="4"/>
            <w:shd w:val="clear" w:color="auto" w:fill="F2F2F2" w:themeFill="background1" w:themeFillShade="F2"/>
          </w:tcPr>
          <w:p w14:paraId="1E74BE6D" w14:textId="13117342" w:rsidR="00232B28" w:rsidRPr="00861042" w:rsidRDefault="003F14F8" w:rsidP="00C7466A">
            <w:pPr>
              <w:rPr>
                <w:rFonts w:ascii="Arial" w:hAnsi="Arial" w:cs="Arial"/>
                <w:bCs/>
                <w:sz w:val="22"/>
                <w:szCs w:val="22"/>
              </w:rPr>
            </w:pPr>
            <w:r w:rsidRPr="00861042">
              <w:rPr>
                <w:rFonts w:ascii="Arial" w:hAnsi="Arial" w:cs="Arial"/>
                <w:bCs/>
                <w:sz w:val="22"/>
                <w:szCs w:val="22"/>
              </w:rPr>
              <w:t>1 April 202</w:t>
            </w:r>
            <w:r w:rsidR="001877F1" w:rsidRPr="00861042">
              <w:rPr>
                <w:rFonts w:ascii="Arial" w:hAnsi="Arial" w:cs="Arial"/>
                <w:bCs/>
                <w:sz w:val="22"/>
                <w:szCs w:val="22"/>
              </w:rPr>
              <w:t>1</w:t>
            </w:r>
            <w:r w:rsidR="00B15A69" w:rsidRPr="00861042">
              <w:rPr>
                <w:rFonts w:ascii="Arial" w:hAnsi="Arial" w:cs="Arial"/>
                <w:bCs/>
                <w:sz w:val="22"/>
                <w:szCs w:val="22"/>
              </w:rPr>
              <w:t xml:space="preserve"> to 31 March 20</w:t>
            </w:r>
            <w:r w:rsidRPr="00861042">
              <w:rPr>
                <w:rFonts w:ascii="Arial" w:hAnsi="Arial" w:cs="Arial"/>
                <w:bCs/>
                <w:sz w:val="22"/>
                <w:szCs w:val="22"/>
              </w:rPr>
              <w:t>2</w:t>
            </w:r>
            <w:r w:rsidR="001877F1" w:rsidRPr="00861042">
              <w:rPr>
                <w:rFonts w:ascii="Arial" w:hAnsi="Arial" w:cs="Arial"/>
                <w:bCs/>
                <w:sz w:val="22"/>
                <w:szCs w:val="22"/>
              </w:rPr>
              <w:t>2</w:t>
            </w:r>
          </w:p>
        </w:tc>
      </w:tr>
      <w:tr w:rsidR="00B84388" w:rsidRPr="00861042" w14:paraId="1752E1E4" w14:textId="77777777" w:rsidTr="00861042">
        <w:trPr>
          <w:trHeight w:val="220"/>
        </w:trPr>
        <w:tc>
          <w:tcPr>
            <w:tcW w:w="7938" w:type="dxa"/>
            <w:gridSpan w:val="4"/>
            <w:shd w:val="clear" w:color="auto" w:fill="DEEAF6" w:themeFill="accent5" w:themeFillTint="33"/>
          </w:tcPr>
          <w:p w14:paraId="21F205C8" w14:textId="77777777" w:rsidR="00232B28" w:rsidRPr="00861042" w:rsidRDefault="00232B28" w:rsidP="00C7466A">
            <w:pPr>
              <w:numPr>
                <w:ilvl w:val="0"/>
                <w:numId w:val="4"/>
              </w:numPr>
              <w:rPr>
                <w:rFonts w:ascii="Arial" w:hAnsi="Arial" w:cs="Arial"/>
                <w:b/>
                <w:sz w:val="22"/>
                <w:szCs w:val="22"/>
              </w:rPr>
            </w:pPr>
            <w:r w:rsidRPr="00861042">
              <w:rPr>
                <w:rFonts w:ascii="Arial" w:hAnsi="Arial" w:cs="Arial"/>
                <w:sz w:val="22"/>
                <w:szCs w:val="22"/>
              </w:rPr>
              <w:t xml:space="preserve">Any links to NHS England/NHS Improvement objectives or </w:t>
            </w:r>
            <w:r w:rsidR="00BC1CB7" w:rsidRPr="00861042">
              <w:rPr>
                <w:rFonts w:ascii="Arial" w:hAnsi="Arial" w:cs="Arial"/>
                <w:sz w:val="22"/>
                <w:szCs w:val="22"/>
              </w:rPr>
              <w:t xml:space="preserve">professional </w:t>
            </w:r>
            <w:r w:rsidRPr="00861042">
              <w:rPr>
                <w:rFonts w:ascii="Arial" w:hAnsi="Arial" w:cs="Arial"/>
                <w:sz w:val="22"/>
                <w:szCs w:val="22"/>
              </w:rPr>
              <w:t>work-plans (only if you are aware of any)</w:t>
            </w:r>
          </w:p>
          <w:p w14:paraId="5CD485D2" w14:textId="77777777" w:rsidR="00BC1CB7" w:rsidRPr="00861042" w:rsidRDefault="00BC1CB7" w:rsidP="00C7466A">
            <w:pPr>
              <w:ind w:left="720"/>
              <w:rPr>
                <w:rFonts w:ascii="Arial" w:hAnsi="Arial" w:cs="Arial"/>
                <w:b/>
                <w:sz w:val="22"/>
                <w:szCs w:val="22"/>
              </w:rPr>
            </w:pPr>
          </w:p>
        </w:tc>
        <w:tc>
          <w:tcPr>
            <w:tcW w:w="7450" w:type="dxa"/>
            <w:gridSpan w:val="4"/>
            <w:shd w:val="clear" w:color="auto" w:fill="F2F2F2" w:themeFill="background1" w:themeFillShade="F2"/>
          </w:tcPr>
          <w:p w14:paraId="601EC405" w14:textId="77777777" w:rsidR="00232B28" w:rsidRPr="00861042" w:rsidRDefault="00232B28" w:rsidP="00C7466A">
            <w:pPr>
              <w:rPr>
                <w:rFonts w:ascii="Arial" w:hAnsi="Arial" w:cs="Arial"/>
                <w:b/>
              </w:rPr>
            </w:pPr>
          </w:p>
        </w:tc>
      </w:tr>
      <w:tr w:rsidR="00232B28" w:rsidRPr="00861042" w14:paraId="4E48BC42" w14:textId="77777777" w:rsidTr="00861042">
        <w:tc>
          <w:tcPr>
            <w:tcW w:w="15388" w:type="dxa"/>
            <w:gridSpan w:val="8"/>
            <w:shd w:val="clear" w:color="auto" w:fill="BDD6EE" w:themeFill="accent5" w:themeFillTint="66"/>
          </w:tcPr>
          <w:p w14:paraId="61B094C9" w14:textId="77777777" w:rsidR="00232B28" w:rsidRPr="00861042" w:rsidRDefault="00232B28" w:rsidP="00C7466A">
            <w:pPr>
              <w:rPr>
                <w:rFonts w:ascii="Arial" w:hAnsi="Arial" w:cs="Arial"/>
                <w:b/>
                <w:sz w:val="22"/>
                <w:szCs w:val="22"/>
              </w:rPr>
            </w:pPr>
            <w:r w:rsidRPr="00861042">
              <w:rPr>
                <w:rFonts w:ascii="Arial" w:hAnsi="Arial" w:cs="Arial"/>
                <w:b/>
                <w:sz w:val="22"/>
                <w:szCs w:val="22"/>
              </w:rPr>
              <w:t>Please can the provider complete the below for each recommendation in the report</w:t>
            </w:r>
          </w:p>
        </w:tc>
      </w:tr>
      <w:tr w:rsidR="00094FB5" w:rsidRPr="00861042" w14:paraId="12B7FC68" w14:textId="77777777" w:rsidTr="00861042">
        <w:tc>
          <w:tcPr>
            <w:tcW w:w="814" w:type="dxa"/>
            <w:shd w:val="clear" w:color="auto" w:fill="DEEAF6" w:themeFill="accent5" w:themeFillTint="33"/>
          </w:tcPr>
          <w:p w14:paraId="576B16A1" w14:textId="77777777" w:rsidR="00431444" w:rsidRPr="00861042" w:rsidRDefault="00897779" w:rsidP="00C7466A">
            <w:pPr>
              <w:rPr>
                <w:rFonts w:ascii="Arial" w:hAnsi="Arial" w:cs="Arial"/>
                <w:b/>
                <w:sz w:val="22"/>
                <w:szCs w:val="22"/>
              </w:rPr>
            </w:pPr>
            <w:r w:rsidRPr="00861042">
              <w:rPr>
                <w:rFonts w:ascii="Arial" w:hAnsi="Arial" w:cs="Arial"/>
                <w:sz w:val="22"/>
                <w:szCs w:val="22"/>
              </w:rPr>
              <w:br w:type="page"/>
            </w:r>
            <w:r w:rsidR="00431444" w:rsidRPr="00861042">
              <w:rPr>
                <w:rFonts w:ascii="Arial" w:hAnsi="Arial" w:cs="Arial"/>
                <w:b/>
                <w:sz w:val="22"/>
                <w:szCs w:val="22"/>
              </w:rPr>
              <w:t>No</w:t>
            </w:r>
            <w:r w:rsidR="00BF4322" w:rsidRPr="00861042">
              <w:rPr>
                <w:rFonts w:ascii="Arial" w:hAnsi="Arial" w:cs="Arial"/>
                <w:b/>
                <w:sz w:val="22"/>
                <w:szCs w:val="22"/>
              </w:rPr>
              <w:t>.</w:t>
            </w:r>
          </w:p>
        </w:tc>
        <w:tc>
          <w:tcPr>
            <w:tcW w:w="3390" w:type="dxa"/>
            <w:shd w:val="clear" w:color="auto" w:fill="DEEAF6" w:themeFill="accent5" w:themeFillTint="33"/>
          </w:tcPr>
          <w:p w14:paraId="424FF27C" w14:textId="77777777" w:rsidR="00431444" w:rsidRPr="00861042" w:rsidRDefault="00431444" w:rsidP="00C7466A">
            <w:pPr>
              <w:rPr>
                <w:rFonts w:ascii="Arial" w:hAnsi="Arial" w:cs="Arial"/>
                <w:b/>
                <w:sz w:val="22"/>
                <w:szCs w:val="22"/>
              </w:rPr>
            </w:pPr>
            <w:r w:rsidRPr="00861042">
              <w:rPr>
                <w:rFonts w:ascii="Arial" w:hAnsi="Arial" w:cs="Arial"/>
                <w:b/>
                <w:sz w:val="22"/>
                <w:szCs w:val="22"/>
              </w:rPr>
              <w:t>Recommendation</w:t>
            </w:r>
          </w:p>
        </w:tc>
        <w:tc>
          <w:tcPr>
            <w:tcW w:w="0" w:type="auto"/>
            <w:shd w:val="clear" w:color="auto" w:fill="DEEAF6" w:themeFill="accent5" w:themeFillTint="33"/>
          </w:tcPr>
          <w:p w14:paraId="10164A47" w14:textId="77777777" w:rsidR="00431444" w:rsidRPr="00861042" w:rsidRDefault="00431444" w:rsidP="00C7466A">
            <w:pPr>
              <w:rPr>
                <w:rFonts w:ascii="Arial" w:hAnsi="Arial" w:cs="Arial"/>
                <w:b/>
                <w:sz w:val="22"/>
                <w:szCs w:val="22"/>
              </w:rPr>
            </w:pPr>
            <w:r w:rsidRPr="00861042">
              <w:rPr>
                <w:rFonts w:ascii="Arial" w:hAnsi="Arial" w:cs="Arial"/>
                <w:b/>
                <w:sz w:val="22"/>
                <w:szCs w:val="22"/>
              </w:rPr>
              <w:t xml:space="preserve">Evidence </w:t>
            </w:r>
            <w:r w:rsidR="00DB28AD" w:rsidRPr="00861042">
              <w:rPr>
                <w:rFonts w:ascii="Arial" w:hAnsi="Arial" w:cs="Arial"/>
                <w:b/>
                <w:sz w:val="22"/>
                <w:szCs w:val="22"/>
              </w:rPr>
              <w:t xml:space="preserve">in the report which </w:t>
            </w:r>
            <w:r w:rsidRPr="00861042">
              <w:rPr>
                <w:rFonts w:ascii="Arial" w:hAnsi="Arial" w:cs="Arial"/>
                <w:b/>
                <w:sz w:val="22"/>
                <w:szCs w:val="22"/>
              </w:rPr>
              <w:t>underpin</w:t>
            </w:r>
            <w:r w:rsidR="00DB28AD" w:rsidRPr="00861042">
              <w:rPr>
                <w:rFonts w:ascii="Arial" w:hAnsi="Arial" w:cs="Arial"/>
                <w:b/>
                <w:sz w:val="22"/>
                <w:szCs w:val="22"/>
              </w:rPr>
              <w:t>s</w:t>
            </w:r>
            <w:r w:rsidRPr="00861042">
              <w:rPr>
                <w:rFonts w:ascii="Arial" w:hAnsi="Arial" w:cs="Arial"/>
                <w:b/>
                <w:sz w:val="22"/>
                <w:szCs w:val="22"/>
              </w:rPr>
              <w:t xml:space="preserve"> the recommendation</w:t>
            </w:r>
          </w:p>
        </w:tc>
        <w:tc>
          <w:tcPr>
            <w:tcW w:w="0" w:type="auto"/>
            <w:gridSpan w:val="2"/>
            <w:shd w:val="clear" w:color="auto" w:fill="DEEAF6" w:themeFill="accent5" w:themeFillTint="33"/>
          </w:tcPr>
          <w:p w14:paraId="422C475B" w14:textId="77777777" w:rsidR="00431444" w:rsidRPr="00861042" w:rsidRDefault="00431444" w:rsidP="00C7466A">
            <w:pPr>
              <w:rPr>
                <w:rFonts w:ascii="Arial" w:hAnsi="Arial" w:cs="Arial"/>
                <w:b/>
                <w:sz w:val="22"/>
                <w:szCs w:val="22"/>
              </w:rPr>
            </w:pPr>
            <w:r w:rsidRPr="00861042">
              <w:rPr>
                <w:rFonts w:ascii="Arial" w:hAnsi="Arial" w:cs="Arial"/>
                <w:b/>
                <w:sz w:val="22"/>
                <w:szCs w:val="22"/>
              </w:rPr>
              <w:t xml:space="preserve">Current national </w:t>
            </w:r>
            <w:r w:rsidR="00C7466A" w:rsidRPr="00861042">
              <w:rPr>
                <w:rFonts w:ascii="Arial" w:hAnsi="Arial" w:cs="Arial"/>
                <w:b/>
                <w:sz w:val="22"/>
                <w:szCs w:val="22"/>
              </w:rPr>
              <w:t xml:space="preserve">audit </w:t>
            </w:r>
            <w:r w:rsidRPr="00861042">
              <w:rPr>
                <w:rFonts w:ascii="Arial" w:hAnsi="Arial" w:cs="Arial"/>
                <w:b/>
                <w:sz w:val="22"/>
                <w:szCs w:val="22"/>
              </w:rPr>
              <w:t>benchmarking standard if there is one</w:t>
            </w:r>
            <w:r w:rsidR="00C7466A" w:rsidRPr="00861042">
              <w:rPr>
                <w:rFonts w:ascii="Arial" w:hAnsi="Arial" w:cs="Arial"/>
                <w:b/>
                <w:sz w:val="22"/>
                <w:szCs w:val="22"/>
              </w:rPr>
              <w:t xml:space="preserve"> </w:t>
            </w:r>
          </w:p>
        </w:tc>
        <w:tc>
          <w:tcPr>
            <w:tcW w:w="0" w:type="auto"/>
            <w:shd w:val="clear" w:color="auto" w:fill="DEEAF6" w:themeFill="accent5" w:themeFillTint="33"/>
          </w:tcPr>
          <w:p w14:paraId="37BA456D" w14:textId="77777777" w:rsidR="00431444" w:rsidRPr="00861042" w:rsidRDefault="00FC36C9" w:rsidP="00C7466A">
            <w:pPr>
              <w:rPr>
                <w:rFonts w:ascii="Arial" w:hAnsi="Arial" w:cs="Arial"/>
                <w:b/>
                <w:sz w:val="22"/>
                <w:szCs w:val="22"/>
              </w:rPr>
            </w:pPr>
            <w:r w:rsidRPr="00861042">
              <w:rPr>
                <w:rFonts w:ascii="Arial" w:hAnsi="Arial" w:cs="Arial"/>
                <w:b/>
                <w:sz w:val="22"/>
                <w:szCs w:val="22"/>
              </w:rPr>
              <w:t>Associated NHS payment levers or incentives’</w:t>
            </w:r>
          </w:p>
        </w:tc>
        <w:tc>
          <w:tcPr>
            <w:tcW w:w="0" w:type="auto"/>
            <w:shd w:val="clear" w:color="auto" w:fill="DEEAF6" w:themeFill="accent5" w:themeFillTint="33"/>
          </w:tcPr>
          <w:p w14:paraId="00063880" w14:textId="77777777" w:rsidR="00431444" w:rsidRPr="00861042" w:rsidRDefault="00C7466A" w:rsidP="00C7466A">
            <w:pPr>
              <w:rPr>
                <w:rFonts w:ascii="Arial" w:hAnsi="Arial" w:cs="Arial"/>
                <w:b/>
                <w:sz w:val="22"/>
                <w:szCs w:val="22"/>
              </w:rPr>
            </w:pPr>
            <w:r w:rsidRPr="00861042">
              <w:rPr>
                <w:rFonts w:ascii="Arial" w:hAnsi="Arial" w:cs="Arial"/>
                <w:b/>
                <w:sz w:val="22"/>
                <w:szCs w:val="22"/>
              </w:rPr>
              <w:t xml:space="preserve">Guidance available (for example, </w:t>
            </w:r>
            <w:r w:rsidR="00431444" w:rsidRPr="00861042">
              <w:rPr>
                <w:rFonts w:ascii="Arial" w:hAnsi="Arial" w:cs="Arial"/>
                <w:b/>
                <w:sz w:val="22"/>
                <w:szCs w:val="22"/>
              </w:rPr>
              <w:t>NICE guideline)</w:t>
            </w:r>
          </w:p>
        </w:tc>
        <w:tc>
          <w:tcPr>
            <w:tcW w:w="0" w:type="auto"/>
            <w:shd w:val="clear" w:color="auto" w:fill="DEEAF6" w:themeFill="accent5" w:themeFillTint="33"/>
          </w:tcPr>
          <w:p w14:paraId="09B22812" w14:textId="77777777" w:rsidR="00431444" w:rsidRPr="00861042" w:rsidRDefault="00FC36C9" w:rsidP="00C7466A">
            <w:pPr>
              <w:rPr>
                <w:rFonts w:ascii="Arial" w:hAnsi="Arial" w:cs="Arial"/>
                <w:b/>
                <w:sz w:val="22"/>
                <w:szCs w:val="22"/>
              </w:rPr>
            </w:pPr>
            <w:r w:rsidRPr="00861042">
              <w:rPr>
                <w:rFonts w:ascii="Arial" w:hAnsi="Arial" w:cs="Arial"/>
                <w:b/>
                <w:sz w:val="22"/>
                <w:szCs w:val="22"/>
              </w:rPr>
              <w:t xml:space="preserve">% </w:t>
            </w:r>
            <w:proofErr w:type="gramStart"/>
            <w:r w:rsidR="00DF7380" w:rsidRPr="00861042">
              <w:rPr>
                <w:rFonts w:ascii="Arial" w:hAnsi="Arial" w:cs="Arial"/>
                <w:b/>
                <w:sz w:val="22"/>
                <w:szCs w:val="22"/>
              </w:rPr>
              <w:t>project</w:t>
            </w:r>
            <w:proofErr w:type="gramEnd"/>
            <w:r w:rsidRPr="00861042">
              <w:rPr>
                <w:rFonts w:ascii="Arial" w:hAnsi="Arial" w:cs="Arial"/>
                <w:b/>
                <w:sz w:val="22"/>
                <w:szCs w:val="22"/>
              </w:rPr>
              <w:t xml:space="preserve"> r</w:t>
            </w:r>
            <w:r w:rsidR="00431444" w:rsidRPr="00861042">
              <w:rPr>
                <w:rFonts w:ascii="Arial" w:hAnsi="Arial" w:cs="Arial"/>
                <w:b/>
                <w:sz w:val="22"/>
                <w:szCs w:val="22"/>
              </w:rPr>
              <w:t>esult if the question previously asked</w:t>
            </w:r>
            <w:r w:rsidRPr="00861042">
              <w:rPr>
                <w:rFonts w:ascii="Arial" w:hAnsi="Arial" w:cs="Arial"/>
                <w:b/>
                <w:sz w:val="22"/>
                <w:szCs w:val="22"/>
              </w:rPr>
              <w:t xml:space="preserve"> by the </w:t>
            </w:r>
            <w:r w:rsidR="00DF7380" w:rsidRPr="00861042">
              <w:rPr>
                <w:rFonts w:ascii="Arial" w:hAnsi="Arial" w:cs="Arial"/>
                <w:b/>
                <w:sz w:val="22"/>
                <w:szCs w:val="22"/>
              </w:rPr>
              <w:t>project</w:t>
            </w:r>
            <w:r w:rsidR="00431444" w:rsidRPr="00861042">
              <w:rPr>
                <w:rFonts w:ascii="Arial" w:hAnsi="Arial" w:cs="Arial"/>
                <w:b/>
                <w:sz w:val="22"/>
                <w:szCs w:val="22"/>
              </w:rPr>
              <w:t xml:space="preserve"> (date asked and result).  If not asked </w:t>
            </w:r>
            <w:proofErr w:type="gramStart"/>
            <w:r w:rsidR="00431444" w:rsidRPr="00861042">
              <w:rPr>
                <w:rFonts w:ascii="Arial" w:hAnsi="Arial" w:cs="Arial"/>
                <w:b/>
                <w:sz w:val="22"/>
                <w:szCs w:val="22"/>
              </w:rPr>
              <w:t>before</w:t>
            </w:r>
            <w:proofErr w:type="gramEnd"/>
            <w:r w:rsidR="00431444" w:rsidRPr="00861042">
              <w:rPr>
                <w:rFonts w:ascii="Arial" w:hAnsi="Arial" w:cs="Arial"/>
                <w:b/>
                <w:sz w:val="22"/>
                <w:szCs w:val="22"/>
              </w:rPr>
              <w:t xml:space="preserve"> please denote N/A</w:t>
            </w:r>
            <w:r w:rsidRPr="00861042">
              <w:rPr>
                <w:rFonts w:ascii="Arial" w:hAnsi="Arial" w:cs="Arial"/>
                <w:b/>
                <w:sz w:val="22"/>
                <w:szCs w:val="22"/>
              </w:rPr>
              <w:t xml:space="preserve">.  This is so that </w:t>
            </w:r>
            <w:r w:rsidR="00BC1CB7" w:rsidRPr="00861042">
              <w:rPr>
                <w:rFonts w:ascii="Arial" w:hAnsi="Arial" w:cs="Arial"/>
                <w:b/>
                <w:sz w:val="22"/>
                <w:szCs w:val="22"/>
              </w:rPr>
              <w:lastRenderedPageBreak/>
              <w:t>there is</w:t>
            </w:r>
            <w:r w:rsidRPr="00861042">
              <w:rPr>
                <w:rFonts w:ascii="Arial" w:hAnsi="Arial" w:cs="Arial"/>
                <w:b/>
                <w:sz w:val="22"/>
                <w:szCs w:val="22"/>
              </w:rPr>
              <w:t xml:space="preserve"> an indication of whether the result has increased or decreased and over what </w:t>
            </w:r>
            <w:proofErr w:type="gramStart"/>
            <w:r w:rsidRPr="00861042">
              <w:rPr>
                <w:rFonts w:ascii="Arial" w:hAnsi="Arial" w:cs="Arial"/>
                <w:b/>
                <w:sz w:val="22"/>
                <w:szCs w:val="22"/>
              </w:rPr>
              <w:t>period of time</w:t>
            </w:r>
            <w:proofErr w:type="gramEnd"/>
          </w:p>
        </w:tc>
      </w:tr>
      <w:tr w:rsidR="00451836" w:rsidRPr="00861042" w14:paraId="27334FEC" w14:textId="77777777" w:rsidTr="00861042">
        <w:tc>
          <w:tcPr>
            <w:tcW w:w="814" w:type="dxa"/>
            <w:shd w:val="clear" w:color="auto" w:fill="auto"/>
          </w:tcPr>
          <w:p w14:paraId="375AD5F3" w14:textId="77777777" w:rsidR="00E04890" w:rsidRPr="00861042" w:rsidRDefault="00E04890" w:rsidP="00C7466A">
            <w:pPr>
              <w:rPr>
                <w:rFonts w:ascii="Arial" w:hAnsi="Arial" w:cs="Arial"/>
                <w:sz w:val="22"/>
                <w:szCs w:val="22"/>
              </w:rPr>
            </w:pPr>
            <w:r w:rsidRPr="00861042">
              <w:rPr>
                <w:rFonts w:ascii="Arial" w:hAnsi="Arial" w:cs="Arial"/>
                <w:sz w:val="22"/>
                <w:szCs w:val="22"/>
              </w:rPr>
              <w:lastRenderedPageBreak/>
              <w:t>Rec 1</w:t>
            </w:r>
          </w:p>
        </w:tc>
        <w:tc>
          <w:tcPr>
            <w:tcW w:w="3390" w:type="dxa"/>
            <w:shd w:val="clear" w:color="auto" w:fill="auto"/>
          </w:tcPr>
          <w:p w14:paraId="08AED24E" w14:textId="77777777" w:rsidR="00B31B74" w:rsidRPr="00861042" w:rsidRDefault="00B31B74" w:rsidP="00621B37">
            <w:pPr>
              <w:spacing w:after="120"/>
              <w:rPr>
                <w:rFonts w:ascii="Arial" w:eastAsia="Calibri" w:hAnsi="Arial" w:cs="Arial"/>
                <w:sz w:val="22"/>
                <w:szCs w:val="22"/>
              </w:rPr>
            </w:pPr>
            <w:r w:rsidRPr="00861042">
              <w:rPr>
                <w:rFonts w:ascii="Arial" w:eastAsia="Calibri" w:hAnsi="Arial" w:cs="Arial"/>
                <w:sz w:val="22"/>
                <w:szCs w:val="22"/>
              </w:rPr>
              <w:t xml:space="preserve">Where CTB time standards are not being met in STEMI cases, emergency departments, PCI centres, neighbouring non-interventional hospitals and ambulance trusts should work together to reduce delays in the provision of primary PCI. This may include improving the hospital response to patient arrivals as well as pre-hospital Call-To-Door (CTD) times. </w:t>
            </w:r>
          </w:p>
          <w:p w14:paraId="35C6B5FB" w14:textId="77777777" w:rsidR="00B31B74" w:rsidRPr="00861042" w:rsidRDefault="00B31B74" w:rsidP="00621B37">
            <w:pPr>
              <w:rPr>
                <w:rFonts w:ascii="Arial" w:eastAsia="Calibri" w:hAnsi="Arial" w:cs="Arial"/>
                <w:sz w:val="22"/>
                <w:szCs w:val="22"/>
              </w:rPr>
            </w:pPr>
            <w:r w:rsidRPr="00861042">
              <w:rPr>
                <w:rFonts w:ascii="Arial" w:eastAsia="Calibri" w:hAnsi="Arial" w:cs="Arial"/>
                <w:sz w:val="22"/>
                <w:szCs w:val="22"/>
              </w:rPr>
              <w:t>Hospitals not able to offer primary PCI to patients with STEMI who self-present, especially if geographically remote from such services, should consider re-introducing care pathways that include immediate administration of intravenous thrombolytic drugs.</w:t>
            </w:r>
          </w:p>
          <w:p w14:paraId="3DE10B2A" w14:textId="6F631D70" w:rsidR="00E04890" w:rsidRPr="00861042" w:rsidRDefault="00E04890" w:rsidP="00621B37">
            <w:pPr>
              <w:rPr>
                <w:rFonts w:ascii="Arial" w:hAnsi="Arial" w:cs="Arial"/>
                <w:bCs/>
                <w:iCs/>
                <w:sz w:val="22"/>
                <w:szCs w:val="22"/>
              </w:rPr>
            </w:pPr>
          </w:p>
        </w:tc>
        <w:tc>
          <w:tcPr>
            <w:tcW w:w="0" w:type="auto"/>
            <w:shd w:val="clear" w:color="auto" w:fill="auto"/>
          </w:tcPr>
          <w:p w14:paraId="773BD704" w14:textId="5266D0B7" w:rsidR="0014355E" w:rsidRPr="00861042" w:rsidRDefault="0014355E" w:rsidP="0021652D">
            <w:pPr>
              <w:rPr>
                <w:rFonts w:ascii="Arial" w:hAnsi="Arial" w:cs="Arial"/>
                <w:sz w:val="22"/>
                <w:szCs w:val="22"/>
              </w:rPr>
            </w:pPr>
            <w:r w:rsidRPr="00861042">
              <w:rPr>
                <w:rFonts w:ascii="Arial" w:hAnsi="Arial" w:cs="Arial"/>
                <w:sz w:val="22"/>
                <w:szCs w:val="22"/>
              </w:rPr>
              <w:t xml:space="preserve">MINAP report, </w:t>
            </w:r>
            <w:r w:rsidR="00AC6F95" w:rsidRPr="00861042">
              <w:rPr>
                <w:rFonts w:ascii="Arial" w:hAnsi="Arial" w:cs="Arial"/>
                <w:sz w:val="22"/>
                <w:szCs w:val="22"/>
              </w:rPr>
              <w:t>Section</w:t>
            </w:r>
            <w:r w:rsidR="00C566FF" w:rsidRPr="00861042">
              <w:rPr>
                <w:rFonts w:ascii="Arial" w:hAnsi="Arial" w:cs="Arial"/>
                <w:sz w:val="22"/>
                <w:szCs w:val="22"/>
              </w:rPr>
              <w:t>s</w:t>
            </w:r>
            <w:r w:rsidR="00AC6F95" w:rsidRPr="00861042">
              <w:rPr>
                <w:rFonts w:ascii="Arial" w:hAnsi="Arial" w:cs="Arial"/>
                <w:sz w:val="22"/>
                <w:szCs w:val="22"/>
              </w:rPr>
              <w:t xml:space="preserve"> 2.2</w:t>
            </w:r>
            <w:r w:rsidR="00C566FF" w:rsidRPr="00861042">
              <w:rPr>
                <w:rFonts w:ascii="Arial" w:hAnsi="Arial" w:cs="Arial"/>
                <w:sz w:val="22"/>
                <w:szCs w:val="22"/>
              </w:rPr>
              <w:t xml:space="preserve"> and </w:t>
            </w:r>
            <w:r w:rsidR="00AC6F95" w:rsidRPr="00861042">
              <w:rPr>
                <w:rFonts w:ascii="Arial" w:hAnsi="Arial" w:cs="Arial"/>
                <w:sz w:val="22"/>
                <w:szCs w:val="22"/>
              </w:rPr>
              <w:t xml:space="preserve">3.2. </w:t>
            </w:r>
          </w:p>
          <w:p w14:paraId="4D61D2F2" w14:textId="77777777" w:rsidR="00C566FF" w:rsidRPr="00861042" w:rsidRDefault="00C566FF" w:rsidP="0021652D">
            <w:pPr>
              <w:rPr>
                <w:rFonts w:ascii="Arial" w:hAnsi="Arial" w:cs="Arial"/>
                <w:sz w:val="22"/>
                <w:szCs w:val="22"/>
              </w:rPr>
            </w:pPr>
          </w:p>
          <w:p w14:paraId="30E0B229" w14:textId="6DE9D1F9" w:rsidR="00AC6F95" w:rsidRPr="00861042" w:rsidRDefault="00E706F0" w:rsidP="00AC6F95">
            <w:pPr>
              <w:rPr>
                <w:rFonts w:ascii="Arial" w:eastAsia="Arial" w:hAnsi="Arial" w:cs="Arial"/>
                <w:sz w:val="22"/>
                <w:szCs w:val="22"/>
              </w:rPr>
            </w:pPr>
            <w:r w:rsidRPr="00861042">
              <w:rPr>
                <w:rFonts w:ascii="Arial" w:hAnsi="Arial" w:cs="Arial"/>
                <w:sz w:val="22"/>
                <w:szCs w:val="22"/>
              </w:rPr>
              <w:t xml:space="preserve">Progressive lengthening of CTB over last </w:t>
            </w:r>
            <w:r w:rsidR="00AC6F95" w:rsidRPr="00861042">
              <w:rPr>
                <w:rFonts w:ascii="Arial" w:hAnsi="Arial" w:cs="Arial"/>
                <w:sz w:val="22"/>
                <w:szCs w:val="22"/>
              </w:rPr>
              <w:t>8</w:t>
            </w:r>
            <w:r w:rsidRPr="00861042">
              <w:rPr>
                <w:rFonts w:ascii="Arial" w:hAnsi="Arial" w:cs="Arial"/>
                <w:sz w:val="22"/>
                <w:szCs w:val="22"/>
              </w:rPr>
              <w:t xml:space="preserve"> years. </w:t>
            </w:r>
            <w:r w:rsidR="00AC6F95" w:rsidRPr="00861042">
              <w:rPr>
                <w:rFonts w:ascii="Arial" w:eastAsia="Arial" w:hAnsi="Arial" w:cs="Arial"/>
                <w:sz w:val="22"/>
                <w:szCs w:val="22"/>
              </w:rPr>
              <w:t>Smaller proportion of patients receiving timely primary PCI - 30% within 120 minutes, 55% within 150 minutes</w:t>
            </w:r>
            <w:r w:rsidR="00567C80" w:rsidRPr="00861042">
              <w:rPr>
                <w:rFonts w:ascii="Arial" w:eastAsia="Arial" w:hAnsi="Arial" w:cs="Arial"/>
                <w:sz w:val="22"/>
                <w:szCs w:val="22"/>
              </w:rPr>
              <w:t xml:space="preserve"> </w:t>
            </w:r>
            <w:r w:rsidR="00AC6F95" w:rsidRPr="00861042">
              <w:rPr>
                <w:rFonts w:ascii="Arial" w:eastAsia="Arial" w:hAnsi="Arial" w:cs="Arial"/>
                <w:sz w:val="22"/>
                <w:szCs w:val="22"/>
              </w:rPr>
              <w:t>[Fig 3.4]</w:t>
            </w:r>
            <w:r w:rsidR="00567C80" w:rsidRPr="00861042">
              <w:rPr>
                <w:rFonts w:ascii="Arial" w:eastAsia="Arial" w:hAnsi="Arial" w:cs="Arial"/>
                <w:sz w:val="22"/>
                <w:szCs w:val="22"/>
              </w:rPr>
              <w:t>.</w:t>
            </w:r>
          </w:p>
          <w:p w14:paraId="71ADC02D" w14:textId="77777777" w:rsidR="00C566FF" w:rsidRPr="00861042" w:rsidRDefault="00C566FF" w:rsidP="00AC6F95">
            <w:pPr>
              <w:rPr>
                <w:rFonts w:ascii="Arial" w:hAnsi="Arial" w:cs="Arial"/>
                <w:sz w:val="22"/>
                <w:szCs w:val="22"/>
              </w:rPr>
            </w:pPr>
          </w:p>
          <w:p w14:paraId="751EF704" w14:textId="488BA9F3" w:rsidR="00E04890" w:rsidRPr="00861042" w:rsidRDefault="003C1908" w:rsidP="678400E4">
            <w:pPr>
              <w:rPr>
                <w:rFonts w:ascii="Arial" w:hAnsi="Arial" w:cs="Arial"/>
                <w:sz w:val="22"/>
                <w:szCs w:val="22"/>
              </w:rPr>
            </w:pPr>
            <w:r w:rsidRPr="00861042">
              <w:rPr>
                <w:rFonts w:ascii="Arial" w:hAnsi="Arial" w:cs="Arial"/>
                <w:sz w:val="22"/>
                <w:szCs w:val="22"/>
              </w:rPr>
              <w:t>There is a w</w:t>
            </w:r>
            <w:r w:rsidR="00AC6F95" w:rsidRPr="00861042">
              <w:rPr>
                <w:rFonts w:ascii="Arial" w:hAnsi="Arial" w:cs="Arial"/>
                <w:sz w:val="22"/>
                <w:szCs w:val="22"/>
              </w:rPr>
              <w:t>idening interquartile range</w:t>
            </w:r>
            <w:r w:rsidR="569C00F1" w:rsidRPr="00861042">
              <w:rPr>
                <w:rFonts w:ascii="Arial" w:hAnsi="Arial" w:cs="Arial"/>
                <w:sz w:val="22"/>
                <w:szCs w:val="22"/>
              </w:rPr>
              <w:t xml:space="preserve"> (</w:t>
            </w:r>
            <w:r w:rsidR="00AC6F95" w:rsidRPr="00861042">
              <w:rPr>
                <w:rFonts w:ascii="Arial" w:hAnsi="Arial" w:cs="Arial"/>
                <w:sz w:val="22"/>
                <w:szCs w:val="22"/>
              </w:rPr>
              <w:t>73 minutes in 2021/22</w:t>
            </w:r>
            <w:r w:rsidR="29D11A16" w:rsidRPr="00861042">
              <w:rPr>
                <w:rFonts w:ascii="Arial" w:hAnsi="Arial" w:cs="Arial"/>
                <w:sz w:val="22"/>
                <w:szCs w:val="22"/>
              </w:rPr>
              <w:t>)</w:t>
            </w:r>
            <w:r w:rsidR="00621B37" w:rsidRPr="00861042">
              <w:rPr>
                <w:rFonts w:ascii="Arial" w:hAnsi="Arial" w:cs="Arial"/>
                <w:sz w:val="22"/>
                <w:szCs w:val="22"/>
              </w:rPr>
              <w:t xml:space="preserve"> </w:t>
            </w:r>
            <w:r w:rsidR="00C566FF" w:rsidRPr="00861042">
              <w:rPr>
                <w:rFonts w:ascii="Arial" w:hAnsi="Arial" w:cs="Arial"/>
                <w:sz w:val="22"/>
                <w:szCs w:val="22"/>
              </w:rPr>
              <w:t>[</w:t>
            </w:r>
            <w:r w:rsidR="00B7137E" w:rsidRPr="00861042">
              <w:rPr>
                <w:rFonts w:ascii="Arial" w:hAnsi="Arial" w:cs="Arial"/>
                <w:sz w:val="22"/>
                <w:szCs w:val="22"/>
              </w:rPr>
              <w:t xml:space="preserve">Figures </w:t>
            </w:r>
            <w:r w:rsidR="00AC6F95" w:rsidRPr="00861042">
              <w:rPr>
                <w:rFonts w:ascii="Arial" w:hAnsi="Arial" w:cs="Arial"/>
                <w:sz w:val="22"/>
                <w:szCs w:val="22"/>
              </w:rPr>
              <w:t>2.</w:t>
            </w:r>
            <w:r w:rsidR="00621B37" w:rsidRPr="00861042">
              <w:rPr>
                <w:rFonts w:ascii="Arial" w:hAnsi="Arial" w:cs="Arial"/>
                <w:sz w:val="22"/>
                <w:szCs w:val="22"/>
              </w:rPr>
              <w:t>5</w:t>
            </w:r>
            <w:r w:rsidR="00AC6F95" w:rsidRPr="00861042">
              <w:rPr>
                <w:rFonts w:ascii="Arial" w:hAnsi="Arial" w:cs="Arial"/>
                <w:sz w:val="22"/>
                <w:szCs w:val="22"/>
              </w:rPr>
              <w:t>-2.</w:t>
            </w:r>
            <w:r w:rsidR="00621B37" w:rsidRPr="00861042">
              <w:rPr>
                <w:rFonts w:ascii="Arial" w:hAnsi="Arial" w:cs="Arial"/>
                <w:sz w:val="22"/>
                <w:szCs w:val="22"/>
              </w:rPr>
              <w:t>8</w:t>
            </w:r>
            <w:r w:rsidR="00AC6F95" w:rsidRPr="00861042">
              <w:rPr>
                <w:rFonts w:ascii="Arial" w:hAnsi="Arial" w:cs="Arial"/>
                <w:sz w:val="22"/>
                <w:szCs w:val="22"/>
              </w:rPr>
              <w:t>, Figures 3.3</w:t>
            </w:r>
            <w:r w:rsidR="00567C80" w:rsidRPr="00861042">
              <w:rPr>
                <w:rFonts w:ascii="Arial" w:hAnsi="Arial" w:cs="Arial"/>
                <w:sz w:val="22"/>
                <w:szCs w:val="22"/>
              </w:rPr>
              <w:t xml:space="preserve"> and </w:t>
            </w:r>
            <w:r w:rsidR="00AC6F95" w:rsidRPr="00861042">
              <w:rPr>
                <w:rFonts w:ascii="Arial" w:hAnsi="Arial" w:cs="Arial"/>
                <w:sz w:val="22"/>
                <w:szCs w:val="22"/>
              </w:rPr>
              <w:t>3.4</w:t>
            </w:r>
            <w:r w:rsidR="00B7137E" w:rsidRPr="00861042">
              <w:rPr>
                <w:rFonts w:ascii="Arial" w:hAnsi="Arial" w:cs="Arial"/>
                <w:sz w:val="22"/>
                <w:szCs w:val="22"/>
              </w:rPr>
              <w:t>]</w:t>
            </w:r>
            <w:r w:rsidR="00621B37" w:rsidRPr="00861042">
              <w:rPr>
                <w:rFonts w:ascii="Arial" w:hAnsi="Arial" w:cs="Arial"/>
                <w:sz w:val="22"/>
                <w:szCs w:val="22"/>
              </w:rPr>
              <w:t>.</w:t>
            </w:r>
          </w:p>
        </w:tc>
        <w:tc>
          <w:tcPr>
            <w:tcW w:w="0" w:type="auto"/>
            <w:gridSpan w:val="2"/>
            <w:shd w:val="clear" w:color="auto" w:fill="auto"/>
          </w:tcPr>
          <w:p w14:paraId="42A99FF2" w14:textId="77777777" w:rsidR="000342A8" w:rsidRPr="00861042" w:rsidRDefault="000342A8" w:rsidP="000342A8">
            <w:pPr>
              <w:pStyle w:val="NormalWeb"/>
              <w:spacing w:before="0" w:beforeAutospacing="0" w:after="0" w:afterAutospacing="0"/>
              <w:rPr>
                <w:rFonts w:ascii="Arial" w:hAnsi="Arial" w:cs="Arial"/>
                <w:sz w:val="22"/>
                <w:szCs w:val="22"/>
              </w:rPr>
            </w:pPr>
            <w:r w:rsidRPr="00861042">
              <w:rPr>
                <w:rFonts w:ascii="Arial" w:hAnsi="Arial" w:cs="Arial"/>
                <w:sz w:val="22"/>
                <w:szCs w:val="22"/>
              </w:rPr>
              <w:t>Call-To-Balloon interval expressed as the proportion of patients receiving primary PCI:</w:t>
            </w:r>
          </w:p>
          <w:p w14:paraId="0069D31F" w14:textId="6CA41D25" w:rsidR="000342A8" w:rsidRPr="00861042" w:rsidRDefault="000342A8" w:rsidP="000342A8">
            <w:pPr>
              <w:pStyle w:val="NormalWeb"/>
              <w:numPr>
                <w:ilvl w:val="0"/>
                <w:numId w:val="6"/>
              </w:numPr>
              <w:spacing w:before="0" w:beforeAutospacing="0" w:after="0" w:afterAutospacing="0"/>
              <w:rPr>
                <w:rFonts w:ascii="Arial" w:hAnsi="Arial" w:cs="Arial"/>
                <w:sz w:val="22"/>
                <w:szCs w:val="22"/>
              </w:rPr>
            </w:pPr>
            <w:r w:rsidRPr="00861042">
              <w:rPr>
                <w:rFonts w:ascii="Arial" w:hAnsi="Arial" w:cs="Arial"/>
                <w:sz w:val="22"/>
                <w:szCs w:val="22"/>
              </w:rPr>
              <w:t>Within 120 mins</w:t>
            </w:r>
          </w:p>
          <w:p w14:paraId="0D3B5102" w14:textId="76D4F552" w:rsidR="00E04890" w:rsidRPr="00861042" w:rsidRDefault="000342A8" w:rsidP="000342A8">
            <w:pPr>
              <w:pStyle w:val="NormalWeb"/>
              <w:numPr>
                <w:ilvl w:val="0"/>
                <w:numId w:val="6"/>
              </w:numPr>
              <w:spacing w:before="0" w:beforeAutospacing="0" w:after="0" w:afterAutospacing="0"/>
              <w:rPr>
                <w:rFonts w:ascii="Arial" w:hAnsi="Arial" w:cs="Arial"/>
                <w:sz w:val="22"/>
                <w:szCs w:val="22"/>
              </w:rPr>
            </w:pPr>
            <w:r w:rsidRPr="00861042">
              <w:rPr>
                <w:rFonts w:ascii="Arial" w:hAnsi="Arial" w:cs="Arial"/>
                <w:sz w:val="22"/>
                <w:szCs w:val="22"/>
              </w:rPr>
              <w:t>Within 150 mins</w:t>
            </w:r>
          </w:p>
        </w:tc>
        <w:tc>
          <w:tcPr>
            <w:tcW w:w="0" w:type="auto"/>
            <w:shd w:val="clear" w:color="auto" w:fill="auto"/>
          </w:tcPr>
          <w:p w14:paraId="379F6CAE" w14:textId="2355AC16" w:rsidR="00E04890" w:rsidRPr="00861042" w:rsidRDefault="00E04890" w:rsidP="00C7466A">
            <w:pPr>
              <w:rPr>
                <w:rFonts w:ascii="Arial" w:hAnsi="Arial" w:cs="Arial"/>
                <w:sz w:val="22"/>
                <w:szCs w:val="22"/>
              </w:rPr>
            </w:pPr>
          </w:p>
        </w:tc>
        <w:tc>
          <w:tcPr>
            <w:tcW w:w="0" w:type="auto"/>
            <w:shd w:val="clear" w:color="auto" w:fill="auto"/>
          </w:tcPr>
          <w:p w14:paraId="782A51A5" w14:textId="025294C0" w:rsidR="00E04890" w:rsidRPr="00861042" w:rsidRDefault="00E706F0" w:rsidP="00650629">
            <w:pPr>
              <w:rPr>
                <w:rFonts w:ascii="Arial" w:hAnsi="Arial" w:cs="Arial"/>
                <w:sz w:val="22"/>
                <w:szCs w:val="22"/>
              </w:rPr>
            </w:pPr>
            <w:r w:rsidRPr="00861042">
              <w:rPr>
                <w:rFonts w:ascii="Arial" w:hAnsi="Arial" w:cs="Arial"/>
                <w:sz w:val="22"/>
                <w:szCs w:val="22"/>
              </w:rPr>
              <w:t>NICE quality standard (QS 68)</w:t>
            </w:r>
            <w:r w:rsidR="00852EBD" w:rsidRPr="00861042">
              <w:rPr>
                <w:rFonts w:ascii="Arial" w:hAnsi="Arial" w:cs="Arial"/>
                <w:sz w:val="22"/>
                <w:szCs w:val="22"/>
              </w:rPr>
              <w:t xml:space="preserve"> </w:t>
            </w:r>
            <w:r w:rsidRPr="00861042">
              <w:rPr>
                <w:rFonts w:ascii="Arial" w:hAnsi="Arial" w:cs="Arial"/>
                <w:sz w:val="22"/>
                <w:szCs w:val="22"/>
              </w:rPr>
              <w:t>‘Adults with acute ST-segment-elevation myocardial infarction (STEMI) who present within 12 hours of onset of symptoms have primary percutaneous coronary intervention (PCI), as the preferred coronary reperfusion strategy, as soon as possible but within 120 minutes of the time when fibrinolysis could have been given.’ [Given that pre-hospital fibrinolytic therapy may take 30 minutes to start – this leads to a standard of ‘within 150 minutes’].</w:t>
            </w:r>
          </w:p>
        </w:tc>
        <w:tc>
          <w:tcPr>
            <w:tcW w:w="0" w:type="auto"/>
            <w:shd w:val="clear" w:color="auto" w:fill="auto"/>
          </w:tcPr>
          <w:p w14:paraId="282A25BF" w14:textId="25D7313E" w:rsidR="00E706F0" w:rsidRPr="00861042" w:rsidRDefault="00E706F0" w:rsidP="00E706F0">
            <w:pPr>
              <w:rPr>
                <w:rFonts w:ascii="Arial" w:hAnsi="Arial" w:cs="Arial"/>
                <w:iCs/>
                <w:sz w:val="22"/>
                <w:szCs w:val="22"/>
              </w:rPr>
            </w:pPr>
            <w:r w:rsidRPr="00861042">
              <w:rPr>
                <w:rFonts w:ascii="Arial" w:hAnsi="Arial" w:cs="Arial"/>
                <w:iCs/>
                <w:sz w:val="22"/>
                <w:szCs w:val="22"/>
              </w:rPr>
              <w:t>Evidence of worsening national performance over ten years</w:t>
            </w:r>
            <w:r w:rsidR="008712C6" w:rsidRPr="00861042">
              <w:rPr>
                <w:rFonts w:ascii="Arial" w:hAnsi="Arial" w:cs="Arial"/>
                <w:iCs/>
                <w:sz w:val="22"/>
                <w:szCs w:val="22"/>
              </w:rPr>
              <w:t xml:space="preserve"> with the greatest annual increase in median CTB between 2020/21 and 2021/22</w:t>
            </w:r>
            <w:r w:rsidR="00451836" w:rsidRPr="00861042">
              <w:rPr>
                <w:rFonts w:ascii="Arial" w:hAnsi="Arial" w:cs="Arial"/>
                <w:iCs/>
                <w:sz w:val="22"/>
                <w:szCs w:val="22"/>
              </w:rPr>
              <w:t>.</w:t>
            </w:r>
          </w:p>
          <w:p w14:paraId="16C88F6F" w14:textId="0860A940" w:rsidR="00E04890" w:rsidRPr="00861042" w:rsidRDefault="00E04890" w:rsidP="00E04890">
            <w:pPr>
              <w:rPr>
                <w:rFonts w:ascii="Arial" w:hAnsi="Arial" w:cs="Arial"/>
                <w:iCs/>
                <w:sz w:val="22"/>
                <w:szCs w:val="22"/>
              </w:rPr>
            </w:pPr>
          </w:p>
        </w:tc>
      </w:tr>
      <w:tr w:rsidR="00451836" w:rsidRPr="00861042" w14:paraId="5B65517C" w14:textId="77777777" w:rsidTr="00861042">
        <w:tc>
          <w:tcPr>
            <w:tcW w:w="814" w:type="dxa"/>
            <w:shd w:val="clear" w:color="auto" w:fill="auto"/>
          </w:tcPr>
          <w:p w14:paraId="06AAC62C" w14:textId="4DB4A0A6" w:rsidR="00E04890" w:rsidRPr="00861042" w:rsidRDefault="00E04890" w:rsidP="00C7466A">
            <w:pPr>
              <w:rPr>
                <w:rFonts w:ascii="Arial" w:hAnsi="Arial" w:cs="Arial"/>
                <w:sz w:val="22"/>
                <w:szCs w:val="22"/>
              </w:rPr>
            </w:pPr>
            <w:r w:rsidRPr="00861042">
              <w:rPr>
                <w:rFonts w:ascii="Arial" w:hAnsi="Arial" w:cs="Arial"/>
                <w:sz w:val="22"/>
                <w:szCs w:val="22"/>
              </w:rPr>
              <w:t>Rec 2</w:t>
            </w:r>
          </w:p>
        </w:tc>
        <w:tc>
          <w:tcPr>
            <w:tcW w:w="3390" w:type="dxa"/>
            <w:shd w:val="clear" w:color="auto" w:fill="auto"/>
          </w:tcPr>
          <w:p w14:paraId="273CD194" w14:textId="77777777" w:rsidR="00834968" w:rsidRPr="00861042" w:rsidRDefault="00834968" w:rsidP="00834968">
            <w:pPr>
              <w:spacing w:after="120"/>
              <w:rPr>
                <w:rFonts w:ascii="Arial" w:eastAsia="Calibri" w:hAnsi="Arial" w:cs="Arial"/>
                <w:sz w:val="22"/>
                <w:szCs w:val="22"/>
              </w:rPr>
            </w:pPr>
            <w:r w:rsidRPr="00861042">
              <w:rPr>
                <w:rFonts w:ascii="Arial" w:eastAsia="Calibri" w:hAnsi="Arial" w:cs="Arial"/>
                <w:sz w:val="22"/>
                <w:szCs w:val="22"/>
              </w:rPr>
              <w:t xml:space="preserve">Hospitals with lower rates of echocardiogram provision, for </w:t>
            </w:r>
            <w:r w:rsidRPr="00861042">
              <w:rPr>
                <w:rFonts w:ascii="Arial" w:eastAsia="Calibri" w:hAnsi="Arial" w:cs="Arial"/>
                <w:sz w:val="22"/>
                <w:szCs w:val="22"/>
              </w:rPr>
              <w:lastRenderedPageBreak/>
              <w:t>STEMI and NSTEMI, should ensure that their data are being collected accurately and, if needed, should identify opportunities for echocardiography during the index admission.</w:t>
            </w:r>
          </w:p>
          <w:p w14:paraId="6340E159" w14:textId="77777777" w:rsidR="00834968" w:rsidRPr="00861042" w:rsidRDefault="00834968" w:rsidP="00834968">
            <w:pPr>
              <w:spacing w:before="120" w:after="120"/>
              <w:rPr>
                <w:rFonts w:ascii="Arial" w:eastAsia="Calibri" w:hAnsi="Arial" w:cs="Arial"/>
                <w:sz w:val="22"/>
                <w:szCs w:val="22"/>
              </w:rPr>
            </w:pPr>
            <w:r w:rsidRPr="00861042">
              <w:rPr>
                <w:rFonts w:ascii="Arial" w:eastAsia="Calibri" w:hAnsi="Arial" w:cs="Arial"/>
                <w:sz w:val="22"/>
                <w:szCs w:val="22"/>
              </w:rPr>
              <w:t>Use of limited ‘bedside’ echocardiograms should be considered if there are difficulties obtaining timely detailed tests.</w:t>
            </w:r>
          </w:p>
          <w:p w14:paraId="4B11F138" w14:textId="77777777" w:rsidR="00834968" w:rsidRPr="00861042" w:rsidRDefault="00834968" w:rsidP="00834968">
            <w:pPr>
              <w:rPr>
                <w:rFonts w:ascii="Arial" w:eastAsia="Calibri" w:hAnsi="Arial" w:cs="Arial"/>
                <w:sz w:val="22"/>
                <w:szCs w:val="22"/>
              </w:rPr>
            </w:pPr>
            <w:r w:rsidRPr="00861042">
              <w:rPr>
                <w:rFonts w:ascii="Arial" w:eastAsia="Calibri" w:hAnsi="Arial" w:cs="Arial"/>
                <w:sz w:val="22"/>
                <w:szCs w:val="22"/>
              </w:rPr>
              <w:t>Patients discharged to another hospital before an echocardiogram is performed must be accompanied by a clear request for the test at the receiving hospital.</w:t>
            </w:r>
          </w:p>
          <w:p w14:paraId="6081302B" w14:textId="07364C8E" w:rsidR="00E04890" w:rsidRPr="00861042" w:rsidRDefault="00E04890" w:rsidP="00037383">
            <w:pPr>
              <w:rPr>
                <w:rFonts w:ascii="Arial" w:hAnsi="Arial" w:cs="Arial"/>
                <w:color w:val="000000"/>
                <w:sz w:val="22"/>
                <w:szCs w:val="22"/>
              </w:rPr>
            </w:pPr>
          </w:p>
        </w:tc>
        <w:tc>
          <w:tcPr>
            <w:tcW w:w="0" w:type="auto"/>
            <w:shd w:val="clear" w:color="auto" w:fill="auto"/>
          </w:tcPr>
          <w:p w14:paraId="2583E53C" w14:textId="02814A92" w:rsidR="0014355E" w:rsidRPr="00861042" w:rsidRDefault="0014355E" w:rsidP="00650629">
            <w:pPr>
              <w:rPr>
                <w:rFonts w:ascii="Arial" w:hAnsi="Arial" w:cs="Arial"/>
                <w:sz w:val="22"/>
                <w:szCs w:val="22"/>
              </w:rPr>
            </w:pPr>
            <w:r w:rsidRPr="00861042">
              <w:rPr>
                <w:rFonts w:ascii="Arial" w:hAnsi="Arial" w:cs="Arial"/>
                <w:sz w:val="22"/>
                <w:szCs w:val="22"/>
              </w:rPr>
              <w:lastRenderedPageBreak/>
              <w:t xml:space="preserve">MINAP report, </w:t>
            </w:r>
            <w:r w:rsidR="00AC6F95" w:rsidRPr="00861042">
              <w:rPr>
                <w:rFonts w:ascii="Arial" w:hAnsi="Arial" w:cs="Arial"/>
                <w:sz w:val="22"/>
                <w:szCs w:val="22"/>
              </w:rPr>
              <w:t>Section</w:t>
            </w:r>
            <w:r w:rsidR="00C52145" w:rsidRPr="00861042">
              <w:rPr>
                <w:rFonts w:ascii="Arial" w:hAnsi="Arial" w:cs="Arial"/>
                <w:sz w:val="22"/>
                <w:szCs w:val="22"/>
              </w:rPr>
              <w:t>s</w:t>
            </w:r>
            <w:r w:rsidR="00AC6F95" w:rsidRPr="00861042">
              <w:rPr>
                <w:rFonts w:ascii="Arial" w:hAnsi="Arial" w:cs="Arial"/>
                <w:sz w:val="22"/>
                <w:szCs w:val="22"/>
              </w:rPr>
              <w:t xml:space="preserve"> </w:t>
            </w:r>
            <w:r w:rsidR="00C566FF" w:rsidRPr="00861042">
              <w:rPr>
                <w:rFonts w:ascii="Arial" w:hAnsi="Arial" w:cs="Arial"/>
                <w:sz w:val="22"/>
                <w:szCs w:val="22"/>
              </w:rPr>
              <w:t xml:space="preserve">2.7 and </w:t>
            </w:r>
            <w:r w:rsidR="00AC6F95" w:rsidRPr="00861042">
              <w:rPr>
                <w:rFonts w:ascii="Arial" w:hAnsi="Arial" w:cs="Arial"/>
                <w:sz w:val="22"/>
                <w:szCs w:val="22"/>
              </w:rPr>
              <w:t>3.</w:t>
            </w:r>
            <w:r w:rsidR="00C566FF" w:rsidRPr="00861042">
              <w:rPr>
                <w:rFonts w:ascii="Arial" w:hAnsi="Arial" w:cs="Arial"/>
                <w:sz w:val="22"/>
                <w:szCs w:val="22"/>
              </w:rPr>
              <w:t>4.</w:t>
            </w:r>
          </w:p>
          <w:p w14:paraId="5DB85CBE" w14:textId="77777777" w:rsidR="0014355E" w:rsidRPr="00861042" w:rsidRDefault="0014355E" w:rsidP="00650629">
            <w:pPr>
              <w:rPr>
                <w:rFonts w:ascii="Arial" w:hAnsi="Arial" w:cs="Arial"/>
                <w:sz w:val="22"/>
                <w:szCs w:val="22"/>
              </w:rPr>
            </w:pPr>
          </w:p>
          <w:p w14:paraId="390AE685" w14:textId="597B2B3B" w:rsidR="00E04890" w:rsidRPr="00861042" w:rsidRDefault="002F68C7" w:rsidP="00650629">
            <w:pPr>
              <w:rPr>
                <w:rFonts w:ascii="Arial" w:hAnsi="Arial" w:cs="Arial"/>
                <w:sz w:val="22"/>
                <w:szCs w:val="22"/>
              </w:rPr>
            </w:pPr>
            <w:r w:rsidRPr="00861042">
              <w:rPr>
                <w:rFonts w:ascii="Arial" w:hAnsi="Arial" w:cs="Arial"/>
                <w:sz w:val="22"/>
                <w:szCs w:val="22"/>
              </w:rPr>
              <w:t>Increase in proportion</w:t>
            </w:r>
            <w:r w:rsidR="0021652D" w:rsidRPr="00861042">
              <w:rPr>
                <w:rFonts w:ascii="Arial" w:hAnsi="Arial" w:cs="Arial"/>
                <w:sz w:val="22"/>
                <w:szCs w:val="22"/>
              </w:rPr>
              <w:t xml:space="preserve"> undergoing echocardiography</w:t>
            </w:r>
            <w:r w:rsidRPr="00861042">
              <w:rPr>
                <w:rFonts w:ascii="Arial" w:hAnsi="Arial" w:cs="Arial"/>
                <w:sz w:val="22"/>
                <w:szCs w:val="22"/>
              </w:rPr>
              <w:t xml:space="preserve"> prior to discharge, continuing trend for ‘year-on-year’ improvement - now </w:t>
            </w:r>
            <w:r w:rsidR="00AC6F95" w:rsidRPr="00861042">
              <w:rPr>
                <w:rFonts w:ascii="Arial" w:hAnsi="Arial" w:cs="Arial"/>
                <w:sz w:val="22"/>
                <w:szCs w:val="22"/>
              </w:rPr>
              <w:t>82</w:t>
            </w:r>
            <w:r w:rsidRPr="00861042">
              <w:rPr>
                <w:rFonts w:ascii="Arial" w:hAnsi="Arial" w:cs="Arial"/>
                <w:sz w:val="22"/>
                <w:szCs w:val="22"/>
              </w:rPr>
              <w:t xml:space="preserve">% compared with </w:t>
            </w:r>
            <w:r w:rsidR="00AC6F95" w:rsidRPr="00861042">
              <w:rPr>
                <w:rFonts w:ascii="Arial" w:hAnsi="Arial" w:cs="Arial"/>
                <w:sz w:val="22"/>
                <w:szCs w:val="22"/>
              </w:rPr>
              <w:t>63</w:t>
            </w:r>
            <w:r w:rsidRPr="00861042">
              <w:rPr>
                <w:rFonts w:ascii="Arial" w:hAnsi="Arial" w:cs="Arial"/>
                <w:sz w:val="22"/>
                <w:szCs w:val="22"/>
              </w:rPr>
              <w:t>% in 201</w:t>
            </w:r>
            <w:r w:rsidR="00AC6F95" w:rsidRPr="00861042">
              <w:rPr>
                <w:rFonts w:ascii="Arial" w:hAnsi="Arial" w:cs="Arial"/>
                <w:sz w:val="22"/>
                <w:szCs w:val="22"/>
              </w:rPr>
              <w:t>2</w:t>
            </w:r>
            <w:r w:rsidRPr="00861042">
              <w:rPr>
                <w:rFonts w:ascii="Arial" w:hAnsi="Arial" w:cs="Arial"/>
                <w:sz w:val="22"/>
                <w:szCs w:val="22"/>
              </w:rPr>
              <w:t>/</w:t>
            </w:r>
            <w:r w:rsidR="00AC6F95" w:rsidRPr="00861042">
              <w:rPr>
                <w:rFonts w:ascii="Arial" w:hAnsi="Arial" w:cs="Arial"/>
                <w:sz w:val="22"/>
                <w:szCs w:val="22"/>
              </w:rPr>
              <w:t>13</w:t>
            </w:r>
            <w:r w:rsidR="00D13063" w:rsidRPr="00861042">
              <w:rPr>
                <w:rFonts w:ascii="Arial" w:hAnsi="Arial" w:cs="Arial"/>
                <w:sz w:val="22"/>
                <w:szCs w:val="22"/>
              </w:rPr>
              <w:t xml:space="preserve"> </w:t>
            </w:r>
            <w:r w:rsidR="00B7137E" w:rsidRPr="00861042">
              <w:rPr>
                <w:rFonts w:ascii="Arial" w:hAnsi="Arial" w:cs="Arial"/>
                <w:sz w:val="22"/>
                <w:szCs w:val="22"/>
              </w:rPr>
              <w:t>[Figure 3.</w:t>
            </w:r>
            <w:r w:rsidR="00AC6F95" w:rsidRPr="00861042">
              <w:rPr>
                <w:rFonts w:ascii="Arial" w:hAnsi="Arial" w:cs="Arial"/>
                <w:sz w:val="22"/>
                <w:szCs w:val="22"/>
              </w:rPr>
              <w:t>6</w:t>
            </w:r>
            <w:r w:rsidR="00B7137E" w:rsidRPr="00861042">
              <w:rPr>
                <w:rFonts w:ascii="Arial" w:hAnsi="Arial" w:cs="Arial"/>
                <w:sz w:val="22"/>
                <w:szCs w:val="22"/>
              </w:rPr>
              <w:t>]</w:t>
            </w:r>
            <w:r w:rsidR="00D13063" w:rsidRPr="00861042">
              <w:rPr>
                <w:rFonts w:ascii="Arial" w:hAnsi="Arial" w:cs="Arial"/>
                <w:sz w:val="22"/>
                <w:szCs w:val="22"/>
              </w:rPr>
              <w:t>.</w:t>
            </w:r>
          </w:p>
          <w:p w14:paraId="412803CD" w14:textId="77777777" w:rsidR="002F68C7" w:rsidRPr="00861042" w:rsidRDefault="002F68C7" w:rsidP="00650629">
            <w:pPr>
              <w:rPr>
                <w:rFonts w:ascii="Arial" w:hAnsi="Arial" w:cs="Arial"/>
                <w:sz w:val="22"/>
                <w:szCs w:val="22"/>
              </w:rPr>
            </w:pPr>
          </w:p>
          <w:p w14:paraId="1868059B" w14:textId="4EFC2971" w:rsidR="00B7137E" w:rsidRPr="00861042" w:rsidRDefault="002F68C7" w:rsidP="00650629">
            <w:pPr>
              <w:rPr>
                <w:rFonts w:ascii="Arial" w:hAnsi="Arial" w:cs="Arial"/>
                <w:sz w:val="22"/>
                <w:szCs w:val="22"/>
              </w:rPr>
            </w:pPr>
            <w:r w:rsidRPr="00861042">
              <w:rPr>
                <w:rFonts w:ascii="Arial" w:hAnsi="Arial" w:cs="Arial"/>
                <w:sz w:val="22"/>
                <w:szCs w:val="22"/>
              </w:rPr>
              <w:t>However</w:t>
            </w:r>
            <w:r w:rsidR="00B7137E" w:rsidRPr="00861042">
              <w:rPr>
                <w:rFonts w:ascii="Arial" w:hAnsi="Arial" w:cs="Arial"/>
                <w:sz w:val="22"/>
                <w:szCs w:val="22"/>
              </w:rPr>
              <w:t>,</w:t>
            </w:r>
            <w:r w:rsidRPr="00861042">
              <w:rPr>
                <w:rFonts w:ascii="Arial" w:hAnsi="Arial" w:cs="Arial"/>
                <w:sz w:val="22"/>
                <w:szCs w:val="22"/>
              </w:rPr>
              <w:t xml:space="preserve"> there is significant variation between hospitals. </w:t>
            </w:r>
          </w:p>
          <w:p w14:paraId="00AB49B1" w14:textId="77777777" w:rsidR="00B7137E" w:rsidRPr="00861042" w:rsidRDefault="00B7137E" w:rsidP="00650629">
            <w:pPr>
              <w:rPr>
                <w:rFonts w:ascii="Arial" w:hAnsi="Arial" w:cs="Arial"/>
                <w:sz w:val="22"/>
                <w:szCs w:val="22"/>
              </w:rPr>
            </w:pPr>
          </w:p>
          <w:p w14:paraId="5721C593" w14:textId="5A8EE671" w:rsidR="002F68C7" w:rsidRPr="00861042" w:rsidRDefault="00C566FF" w:rsidP="0021652D">
            <w:pPr>
              <w:rPr>
                <w:rFonts w:ascii="Arial" w:eastAsia="Arial" w:hAnsi="Arial" w:cs="Arial"/>
                <w:sz w:val="22"/>
                <w:szCs w:val="22"/>
              </w:rPr>
            </w:pPr>
            <w:r w:rsidRPr="00861042">
              <w:rPr>
                <w:rFonts w:ascii="Arial" w:eastAsia="Arial" w:hAnsi="Arial" w:cs="Arial"/>
                <w:sz w:val="22"/>
                <w:szCs w:val="22"/>
              </w:rPr>
              <w:t>52 hospitals managing STEMI arranged echocardiography in at least 90% of patients treated; in 8 hospitals fewer than 50% of patients treated underwent an echocardiogram</w:t>
            </w:r>
            <w:r w:rsidR="00D13063" w:rsidRPr="00861042">
              <w:rPr>
                <w:rFonts w:ascii="Arial" w:eastAsia="Arial" w:hAnsi="Arial" w:cs="Arial"/>
                <w:sz w:val="22"/>
                <w:szCs w:val="22"/>
              </w:rPr>
              <w:t xml:space="preserve"> </w:t>
            </w:r>
            <w:r w:rsidR="00B7137E" w:rsidRPr="00861042">
              <w:rPr>
                <w:rFonts w:ascii="Arial" w:hAnsi="Arial" w:cs="Arial"/>
                <w:sz w:val="22"/>
                <w:szCs w:val="22"/>
              </w:rPr>
              <w:t>[Figure</w:t>
            </w:r>
            <w:r w:rsidRPr="00861042">
              <w:rPr>
                <w:rFonts w:ascii="Arial" w:hAnsi="Arial" w:cs="Arial"/>
                <w:sz w:val="22"/>
                <w:szCs w:val="22"/>
              </w:rPr>
              <w:t xml:space="preserve">s </w:t>
            </w:r>
            <w:r w:rsidR="00AC6F95" w:rsidRPr="00861042">
              <w:rPr>
                <w:rFonts w:ascii="Arial" w:hAnsi="Arial" w:cs="Arial"/>
                <w:sz w:val="22"/>
                <w:szCs w:val="22"/>
              </w:rPr>
              <w:t>3.6-3.8</w:t>
            </w:r>
            <w:r w:rsidRPr="00861042">
              <w:rPr>
                <w:rFonts w:ascii="Arial" w:hAnsi="Arial" w:cs="Arial"/>
                <w:sz w:val="22"/>
                <w:szCs w:val="22"/>
              </w:rPr>
              <w:t>]</w:t>
            </w:r>
            <w:r w:rsidR="00D13063" w:rsidRPr="00861042">
              <w:rPr>
                <w:rFonts w:ascii="Arial" w:hAnsi="Arial" w:cs="Arial"/>
                <w:sz w:val="22"/>
                <w:szCs w:val="22"/>
              </w:rPr>
              <w:t>.</w:t>
            </w:r>
          </w:p>
        </w:tc>
        <w:tc>
          <w:tcPr>
            <w:tcW w:w="0" w:type="auto"/>
            <w:gridSpan w:val="2"/>
            <w:shd w:val="clear" w:color="auto" w:fill="auto"/>
          </w:tcPr>
          <w:p w14:paraId="745305F1" w14:textId="77777777" w:rsidR="00852EBD" w:rsidRPr="00861042" w:rsidRDefault="00852EBD" w:rsidP="00852EBD">
            <w:pPr>
              <w:rPr>
                <w:rFonts w:ascii="Arial" w:hAnsi="Arial" w:cs="Arial"/>
                <w:color w:val="000000"/>
                <w:sz w:val="22"/>
                <w:szCs w:val="22"/>
              </w:rPr>
            </w:pPr>
            <w:r w:rsidRPr="00861042">
              <w:rPr>
                <w:rFonts w:ascii="Arial" w:hAnsi="Arial" w:cs="Arial"/>
                <w:color w:val="000000"/>
                <w:sz w:val="22"/>
                <w:szCs w:val="22"/>
              </w:rPr>
              <w:lastRenderedPageBreak/>
              <w:t xml:space="preserve">No national standard has been published </w:t>
            </w:r>
            <w:r w:rsidRPr="00861042">
              <w:rPr>
                <w:rFonts w:ascii="Arial" w:hAnsi="Arial" w:cs="Arial"/>
                <w:color w:val="000000"/>
                <w:sz w:val="22"/>
                <w:szCs w:val="22"/>
              </w:rPr>
              <w:lastRenderedPageBreak/>
              <w:t xml:space="preserve">for the expected performance of an echocardiogram following admission with heart attack. </w:t>
            </w:r>
          </w:p>
          <w:p w14:paraId="3017F26D" w14:textId="77777777" w:rsidR="00852EBD" w:rsidRPr="00861042" w:rsidRDefault="00852EBD" w:rsidP="00852EBD">
            <w:pPr>
              <w:rPr>
                <w:rFonts w:ascii="Arial" w:hAnsi="Arial" w:cs="Arial"/>
                <w:color w:val="000000"/>
                <w:sz w:val="22"/>
                <w:szCs w:val="22"/>
              </w:rPr>
            </w:pPr>
          </w:p>
          <w:p w14:paraId="21BC0D73" w14:textId="355DB567" w:rsidR="00852EBD" w:rsidRPr="00861042" w:rsidRDefault="00852EBD" w:rsidP="00852EBD">
            <w:pPr>
              <w:rPr>
                <w:rFonts w:ascii="Arial" w:hAnsi="Arial" w:cs="Arial"/>
              </w:rPr>
            </w:pPr>
            <w:r w:rsidRPr="00861042">
              <w:rPr>
                <w:rFonts w:ascii="Arial" w:hAnsi="Arial" w:cs="Arial"/>
                <w:color w:val="000000"/>
                <w:sz w:val="22"/>
                <w:szCs w:val="22"/>
              </w:rPr>
              <w:t>Discussion with MINAP ‘Domain Expert Group’ led to an aim for 90% achievement</w:t>
            </w:r>
            <w:r w:rsidR="00451836" w:rsidRPr="00861042">
              <w:rPr>
                <w:rFonts w:ascii="Arial" w:hAnsi="Arial" w:cs="Arial"/>
                <w:color w:val="000000"/>
                <w:sz w:val="22"/>
                <w:szCs w:val="22"/>
              </w:rPr>
              <w:t>.</w:t>
            </w:r>
          </w:p>
          <w:p w14:paraId="45A57E14" w14:textId="3CD93856" w:rsidR="00E04890" w:rsidRPr="00861042" w:rsidRDefault="00E04890" w:rsidP="00650629">
            <w:pPr>
              <w:rPr>
                <w:rFonts w:ascii="Arial" w:hAnsi="Arial" w:cs="Arial"/>
                <w:color w:val="000000"/>
                <w:sz w:val="22"/>
                <w:szCs w:val="22"/>
              </w:rPr>
            </w:pPr>
          </w:p>
        </w:tc>
        <w:tc>
          <w:tcPr>
            <w:tcW w:w="0" w:type="auto"/>
            <w:shd w:val="clear" w:color="auto" w:fill="auto"/>
          </w:tcPr>
          <w:p w14:paraId="78E2B1C2" w14:textId="28B79CF6" w:rsidR="00E04890" w:rsidRPr="00861042" w:rsidRDefault="00E04890" w:rsidP="00C7466A">
            <w:pPr>
              <w:rPr>
                <w:rFonts w:ascii="Arial" w:hAnsi="Arial" w:cs="Arial"/>
                <w:sz w:val="22"/>
                <w:szCs w:val="22"/>
              </w:rPr>
            </w:pPr>
          </w:p>
        </w:tc>
        <w:tc>
          <w:tcPr>
            <w:tcW w:w="0" w:type="auto"/>
            <w:shd w:val="clear" w:color="auto" w:fill="auto"/>
          </w:tcPr>
          <w:p w14:paraId="2BCA6048" w14:textId="35AB8619" w:rsidR="00E04890" w:rsidRPr="00861042" w:rsidRDefault="00B7137E" w:rsidP="00A61C6F">
            <w:pPr>
              <w:rPr>
                <w:rFonts w:ascii="Arial" w:hAnsi="Arial" w:cs="Arial"/>
                <w:sz w:val="22"/>
                <w:szCs w:val="22"/>
              </w:rPr>
            </w:pPr>
            <w:r w:rsidRPr="00861042">
              <w:rPr>
                <w:rFonts w:ascii="Arial" w:hAnsi="Arial" w:cs="Arial"/>
                <w:sz w:val="22"/>
                <w:szCs w:val="22"/>
              </w:rPr>
              <w:t xml:space="preserve">ESC guideline for management of STEMI </w:t>
            </w:r>
            <w:r w:rsidRPr="00861042">
              <w:rPr>
                <w:rFonts w:ascii="Arial" w:hAnsi="Arial" w:cs="Arial"/>
                <w:sz w:val="22"/>
                <w:szCs w:val="22"/>
              </w:rPr>
              <w:lastRenderedPageBreak/>
              <w:t xml:space="preserve">recommends ‘routine echocardiography to assess resting LV and RV function, detect early post-MI mechanical complications, and exclude LV thrombus…in all </w:t>
            </w:r>
            <w:proofErr w:type="gramStart"/>
            <w:r w:rsidRPr="00861042">
              <w:rPr>
                <w:rFonts w:ascii="Arial" w:hAnsi="Arial" w:cs="Arial"/>
                <w:sz w:val="22"/>
                <w:szCs w:val="22"/>
              </w:rPr>
              <w:t>patients’</w:t>
            </w:r>
            <w:proofErr w:type="gramEnd"/>
            <w:r w:rsidR="00451836" w:rsidRPr="00861042">
              <w:rPr>
                <w:rFonts w:ascii="Arial" w:hAnsi="Arial" w:cs="Arial"/>
                <w:sz w:val="22"/>
                <w:szCs w:val="22"/>
              </w:rPr>
              <w:t>.</w:t>
            </w:r>
          </w:p>
        </w:tc>
        <w:tc>
          <w:tcPr>
            <w:tcW w:w="0" w:type="auto"/>
            <w:shd w:val="clear" w:color="auto" w:fill="auto"/>
          </w:tcPr>
          <w:p w14:paraId="0DDC66ED" w14:textId="5DD6B836" w:rsidR="00E04890" w:rsidRPr="00861042" w:rsidRDefault="00B7137E" w:rsidP="00C7466A">
            <w:pPr>
              <w:rPr>
                <w:rFonts w:ascii="Arial" w:hAnsi="Arial" w:cs="Arial"/>
                <w:color w:val="000000"/>
                <w:sz w:val="22"/>
                <w:szCs w:val="22"/>
              </w:rPr>
            </w:pPr>
            <w:r w:rsidRPr="00861042">
              <w:rPr>
                <w:rFonts w:ascii="Arial" w:hAnsi="Arial" w:cs="Arial"/>
                <w:color w:val="000000"/>
                <w:sz w:val="22"/>
                <w:szCs w:val="22"/>
              </w:rPr>
              <w:lastRenderedPageBreak/>
              <w:t xml:space="preserve">Evidence of improving national </w:t>
            </w:r>
            <w:r w:rsidRPr="00861042">
              <w:rPr>
                <w:rFonts w:ascii="Arial" w:hAnsi="Arial" w:cs="Arial"/>
                <w:color w:val="000000"/>
                <w:sz w:val="22"/>
                <w:szCs w:val="22"/>
              </w:rPr>
              <w:lastRenderedPageBreak/>
              <w:t>performance over ten years</w:t>
            </w:r>
            <w:r w:rsidR="00AC6F95" w:rsidRPr="00861042">
              <w:rPr>
                <w:rFonts w:ascii="Arial" w:hAnsi="Arial" w:cs="Arial"/>
                <w:color w:val="000000"/>
                <w:sz w:val="22"/>
                <w:szCs w:val="22"/>
              </w:rPr>
              <w:t xml:space="preserve"> with the proportion of patients receiving an echocardiogram before discharge from hospital being the highest recorded.</w:t>
            </w:r>
          </w:p>
        </w:tc>
      </w:tr>
      <w:tr w:rsidR="00451836" w:rsidRPr="00861042" w14:paraId="77CD8CDA" w14:textId="77777777" w:rsidTr="00861042">
        <w:tc>
          <w:tcPr>
            <w:tcW w:w="814" w:type="dxa"/>
            <w:shd w:val="clear" w:color="auto" w:fill="auto"/>
          </w:tcPr>
          <w:p w14:paraId="6FFFDBBB" w14:textId="4FFDFBF9" w:rsidR="00E04890" w:rsidRPr="00861042" w:rsidRDefault="00E04890" w:rsidP="00C7466A">
            <w:pPr>
              <w:rPr>
                <w:rFonts w:ascii="Arial" w:hAnsi="Arial" w:cs="Arial"/>
                <w:sz w:val="22"/>
                <w:szCs w:val="22"/>
              </w:rPr>
            </w:pPr>
            <w:r w:rsidRPr="00861042">
              <w:rPr>
                <w:rFonts w:ascii="Arial" w:hAnsi="Arial" w:cs="Arial"/>
                <w:sz w:val="22"/>
                <w:szCs w:val="22"/>
              </w:rPr>
              <w:lastRenderedPageBreak/>
              <w:t>Rec 3</w:t>
            </w:r>
          </w:p>
        </w:tc>
        <w:tc>
          <w:tcPr>
            <w:tcW w:w="3390" w:type="dxa"/>
            <w:shd w:val="clear" w:color="auto" w:fill="auto"/>
          </w:tcPr>
          <w:p w14:paraId="1584F7A1" w14:textId="77777777" w:rsidR="00A3211F" w:rsidRPr="00861042" w:rsidRDefault="00A3211F" w:rsidP="00A3211F">
            <w:pPr>
              <w:spacing w:after="120"/>
              <w:rPr>
                <w:rFonts w:ascii="Arial" w:eastAsia="Calibri" w:hAnsi="Arial" w:cs="Arial"/>
                <w:sz w:val="22"/>
                <w:szCs w:val="22"/>
              </w:rPr>
            </w:pPr>
            <w:r w:rsidRPr="00861042">
              <w:rPr>
                <w:rFonts w:ascii="Arial" w:eastAsia="Calibri" w:hAnsi="Arial" w:cs="Arial"/>
                <w:sz w:val="22"/>
                <w:szCs w:val="22"/>
              </w:rPr>
              <w:t xml:space="preserve">Hospitals not sufficiently admitting heart attack patients to a cardiac ward should review their systems and bed allocations to maximise access to cardiac care. This may </w:t>
            </w:r>
            <w:r w:rsidRPr="00861042">
              <w:rPr>
                <w:rFonts w:ascii="Arial" w:eastAsia="Calibri" w:hAnsi="Arial" w:cs="Arial"/>
                <w:sz w:val="22"/>
                <w:szCs w:val="22"/>
              </w:rPr>
              <w:lastRenderedPageBreak/>
              <w:t>require novel use of dedicated multi-specialty ‘high care’ beds and provision of cardiac outreach services to those cared for elsewhere.</w:t>
            </w:r>
          </w:p>
          <w:p w14:paraId="459D95E3" w14:textId="238685EB" w:rsidR="0021652D" w:rsidRPr="00861042" w:rsidRDefault="0021652D" w:rsidP="00C22546">
            <w:pPr>
              <w:rPr>
                <w:rFonts w:ascii="Arial" w:hAnsi="Arial" w:cs="Arial"/>
                <w:color w:val="000000"/>
                <w:sz w:val="22"/>
                <w:szCs w:val="22"/>
              </w:rPr>
            </w:pPr>
          </w:p>
        </w:tc>
        <w:tc>
          <w:tcPr>
            <w:tcW w:w="0" w:type="auto"/>
            <w:shd w:val="clear" w:color="auto" w:fill="auto"/>
          </w:tcPr>
          <w:p w14:paraId="71E4C369" w14:textId="53AF0368" w:rsidR="0014355E" w:rsidRPr="00861042" w:rsidRDefault="0014355E" w:rsidP="00650629">
            <w:pPr>
              <w:rPr>
                <w:rFonts w:ascii="Arial" w:hAnsi="Arial" w:cs="Arial"/>
                <w:sz w:val="22"/>
                <w:szCs w:val="22"/>
              </w:rPr>
            </w:pPr>
            <w:r w:rsidRPr="00861042">
              <w:rPr>
                <w:rFonts w:ascii="Arial" w:hAnsi="Arial" w:cs="Arial"/>
                <w:sz w:val="22"/>
                <w:szCs w:val="22"/>
              </w:rPr>
              <w:lastRenderedPageBreak/>
              <w:t xml:space="preserve">MINAP report, </w:t>
            </w:r>
            <w:r w:rsidR="005564D0" w:rsidRPr="00861042">
              <w:rPr>
                <w:rFonts w:ascii="Arial" w:hAnsi="Arial" w:cs="Arial"/>
                <w:sz w:val="22"/>
                <w:szCs w:val="22"/>
              </w:rPr>
              <w:t>Section 3.5</w:t>
            </w:r>
            <w:r w:rsidR="00554FDB" w:rsidRPr="00861042">
              <w:rPr>
                <w:rFonts w:ascii="Arial" w:hAnsi="Arial" w:cs="Arial"/>
                <w:sz w:val="22"/>
                <w:szCs w:val="22"/>
              </w:rPr>
              <w:t>.</w:t>
            </w:r>
          </w:p>
          <w:p w14:paraId="02A835E1" w14:textId="77777777" w:rsidR="0014355E" w:rsidRPr="00861042" w:rsidRDefault="0014355E" w:rsidP="00650629">
            <w:pPr>
              <w:rPr>
                <w:rFonts w:ascii="Arial" w:hAnsi="Arial" w:cs="Arial"/>
                <w:sz w:val="22"/>
                <w:szCs w:val="22"/>
              </w:rPr>
            </w:pPr>
          </w:p>
          <w:p w14:paraId="6C919BF0" w14:textId="56481444" w:rsidR="00E04890" w:rsidRPr="00861042" w:rsidRDefault="005564D0" w:rsidP="00650629">
            <w:pPr>
              <w:rPr>
                <w:rFonts w:ascii="Arial" w:hAnsi="Arial" w:cs="Arial"/>
                <w:sz w:val="22"/>
                <w:szCs w:val="22"/>
              </w:rPr>
            </w:pPr>
            <w:r w:rsidRPr="00861042">
              <w:rPr>
                <w:rFonts w:ascii="Arial" w:hAnsi="Arial" w:cs="Arial"/>
                <w:sz w:val="22"/>
                <w:szCs w:val="22"/>
              </w:rPr>
              <w:t xml:space="preserve">There has been a gradual increase in the proportion of patients </w:t>
            </w:r>
            <w:r w:rsidRPr="00861042">
              <w:rPr>
                <w:rFonts w:ascii="Arial" w:hAnsi="Arial" w:cs="Arial"/>
                <w:sz w:val="22"/>
                <w:szCs w:val="22"/>
              </w:rPr>
              <w:lastRenderedPageBreak/>
              <w:t xml:space="preserve">with NSTEMI who are admitted to a cardiac ward, increasing by about 10% in absolute terms over 10 years – to 63.9% </w:t>
            </w:r>
            <w:r w:rsidR="00852EBD" w:rsidRPr="00861042">
              <w:rPr>
                <w:rFonts w:ascii="Arial" w:hAnsi="Arial" w:cs="Arial"/>
                <w:sz w:val="22"/>
                <w:szCs w:val="22"/>
              </w:rPr>
              <w:t>[Figure 3.</w:t>
            </w:r>
            <w:r w:rsidRPr="00861042">
              <w:rPr>
                <w:rFonts w:ascii="Arial" w:hAnsi="Arial" w:cs="Arial"/>
                <w:sz w:val="22"/>
                <w:szCs w:val="22"/>
              </w:rPr>
              <w:t>9</w:t>
            </w:r>
            <w:r w:rsidR="00852EBD" w:rsidRPr="00861042">
              <w:rPr>
                <w:rFonts w:ascii="Arial" w:hAnsi="Arial" w:cs="Arial"/>
                <w:sz w:val="22"/>
                <w:szCs w:val="22"/>
              </w:rPr>
              <w:t>]</w:t>
            </w:r>
            <w:r w:rsidR="00554FDB" w:rsidRPr="00861042">
              <w:rPr>
                <w:rFonts w:ascii="Arial" w:hAnsi="Arial" w:cs="Arial"/>
                <w:sz w:val="22"/>
                <w:szCs w:val="22"/>
              </w:rPr>
              <w:t>.</w:t>
            </w:r>
          </w:p>
          <w:p w14:paraId="272325F5" w14:textId="77777777" w:rsidR="00852EBD" w:rsidRPr="00861042" w:rsidRDefault="00852EBD" w:rsidP="00650629">
            <w:pPr>
              <w:rPr>
                <w:rFonts w:ascii="Arial" w:hAnsi="Arial" w:cs="Arial"/>
                <w:sz w:val="22"/>
                <w:szCs w:val="22"/>
              </w:rPr>
            </w:pPr>
          </w:p>
          <w:p w14:paraId="042F4D08" w14:textId="77777777" w:rsidR="00852EBD" w:rsidRPr="00861042" w:rsidRDefault="00852EBD" w:rsidP="00852EBD">
            <w:pPr>
              <w:rPr>
                <w:rFonts w:ascii="Arial" w:hAnsi="Arial" w:cs="Arial"/>
                <w:sz w:val="22"/>
                <w:szCs w:val="22"/>
              </w:rPr>
            </w:pPr>
            <w:r w:rsidRPr="00861042">
              <w:rPr>
                <w:rFonts w:ascii="Arial" w:hAnsi="Arial" w:cs="Arial"/>
                <w:sz w:val="22"/>
                <w:szCs w:val="22"/>
              </w:rPr>
              <w:t xml:space="preserve">However, there is significant variation between hospitals. </w:t>
            </w:r>
          </w:p>
          <w:p w14:paraId="1F912746" w14:textId="77777777" w:rsidR="00852EBD" w:rsidRPr="00861042" w:rsidRDefault="00852EBD" w:rsidP="00650629">
            <w:pPr>
              <w:rPr>
                <w:rFonts w:ascii="Arial" w:hAnsi="Arial" w:cs="Arial"/>
                <w:sz w:val="22"/>
                <w:szCs w:val="22"/>
              </w:rPr>
            </w:pPr>
          </w:p>
          <w:p w14:paraId="498BF02B" w14:textId="2355E83A" w:rsidR="00852EBD" w:rsidRPr="00861042" w:rsidRDefault="005564D0" w:rsidP="0021652D">
            <w:pPr>
              <w:rPr>
                <w:rFonts w:ascii="Arial" w:hAnsi="Arial" w:cs="Arial"/>
                <w:sz w:val="22"/>
                <w:szCs w:val="22"/>
              </w:rPr>
            </w:pPr>
            <w:r w:rsidRPr="00861042">
              <w:rPr>
                <w:rFonts w:ascii="Arial" w:hAnsi="Arial" w:cs="Arial"/>
                <w:sz w:val="22"/>
                <w:szCs w:val="22"/>
              </w:rPr>
              <w:t>At least 80% of patients with NSTEMI were admitted to a cardiac ward in 69 of hospitals; in 19 hospitals fewer than 30% of NSTEMI patients were admitted to a cardiac ward [Figure 3.10]</w:t>
            </w:r>
            <w:r w:rsidR="00F03E70" w:rsidRPr="00861042">
              <w:rPr>
                <w:rFonts w:ascii="Arial" w:hAnsi="Arial" w:cs="Arial"/>
                <w:sz w:val="22"/>
                <w:szCs w:val="22"/>
              </w:rPr>
              <w:t>.</w:t>
            </w:r>
          </w:p>
        </w:tc>
        <w:tc>
          <w:tcPr>
            <w:tcW w:w="0" w:type="auto"/>
            <w:gridSpan w:val="2"/>
            <w:shd w:val="clear" w:color="auto" w:fill="auto"/>
          </w:tcPr>
          <w:p w14:paraId="56146B78" w14:textId="77777777" w:rsidR="00852EBD" w:rsidRPr="00861042" w:rsidRDefault="00852EBD" w:rsidP="00852EBD">
            <w:pPr>
              <w:rPr>
                <w:rFonts w:ascii="Arial" w:hAnsi="Arial" w:cs="Arial"/>
                <w:color w:val="000000"/>
                <w:sz w:val="22"/>
                <w:szCs w:val="22"/>
              </w:rPr>
            </w:pPr>
            <w:r w:rsidRPr="00861042">
              <w:rPr>
                <w:rFonts w:ascii="Arial" w:hAnsi="Arial" w:cs="Arial"/>
                <w:color w:val="000000"/>
                <w:sz w:val="22"/>
                <w:szCs w:val="22"/>
              </w:rPr>
              <w:lastRenderedPageBreak/>
              <w:t>No national standard has been published for the proportion of patients with heart attack admitted to a cardiac ward.</w:t>
            </w:r>
          </w:p>
          <w:p w14:paraId="686BBFE5" w14:textId="77777777" w:rsidR="00852EBD" w:rsidRPr="00861042" w:rsidRDefault="00852EBD" w:rsidP="00852EBD">
            <w:pPr>
              <w:rPr>
                <w:rFonts w:ascii="Arial" w:hAnsi="Arial" w:cs="Arial"/>
                <w:color w:val="000000"/>
                <w:sz w:val="22"/>
                <w:szCs w:val="22"/>
              </w:rPr>
            </w:pPr>
          </w:p>
          <w:p w14:paraId="08ADA437" w14:textId="77777777" w:rsidR="00852EBD" w:rsidRPr="00861042" w:rsidRDefault="00852EBD" w:rsidP="00852EBD">
            <w:pPr>
              <w:rPr>
                <w:rFonts w:ascii="Arial" w:hAnsi="Arial" w:cs="Arial"/>
              </w:rPr>
            </w:pPr>
            <w:r w:rsidRPr="00861042">
              <w:rPr>
                <w:rFonts w:ascii="Arial" w:hAnsi="Arial" w:cs="Arial"/>
                <w:color w:val="000000"/>
                <w:sz w:val="22"/>
                <w:szCs w:val="22"/>
              </w:rPr>
              <w:t>Discussion with MINAP ‘Domain Expert Group’ led to an aim for 80% achievement.</w:t>
            </w:r>
          </w:p>
          <w:p w14:paraId="18897F22" w14:textId="255E48DA" w:rsidR="00E04890" w:rsidRPr="00861042" w:rsidRDefault="00E04890" w:rsidP="00650629">
            <w:pPr>
              <w:rPr>
                <w:rFonts w:ascii="Arial" w:hAnsi="Arial" w:cs="Arial"/>
                <w:color w:val="000000"/>
                <w:sz w:val="22"/>
                <w:szCs w:val="22"/>
              </w:rPr>
            </w:pPr>
          </w:p>
        </w:tc>
        <w:tc>
          <w:tcPr>
            <w:tcW w:w="0" w:type="auto"/>
            <w:shd w:val="clear" w:color="auto" w:fill="auto"/>
          </w:tcPr>
          <w:p w14:paraId="6DDF0933" w14:textId="4786FB38" w:rsidR="00E04890" w:rsidRPr="00861042" w:rsidRDefault="00E04890" w:rsidP="00C7466A">
            <w:pPr>
              <w:rPr>
                <w:rFonts w:ascii="Arial" w:hAnsi="Arial" w:cs="Arial"/>
                <w:sz w:val="22"/>
                <w:szCs w:val="22"/>
              </w:rPr>
            </w:pPr>
          </w:p>
        </w:tc>
        <w:tc>
          <w:tcPr>
            <w:tcW w:w="0" w:type="auto"/>
            <w:shd w:val="clear" w:color="auto" w:fill="auto"/>
          </w:tcPr>
          <w:p w14:paraId="4F99349E" w14:textId="4164FF35" w:rsidR="00852EBD" w:rsidRPr="00861042" w:rsidRDefault="00852EBD" w:rsidP="00852EBD">
            <w:pPr>
              <w:rPr>
                <w:rFonts w:ascii="Arial" w:hAnsi="Arial" w:cs="Arial"/>
                <w:sz w:val="22"/>
                <w:szCs w:val="22"/>
              </w:rPr>
            </w:pPr>
            <w:r w:rsidRPr="00861042">
              <w:rPr>
                <w:rFonts w:ascii="Arial" w:hAnsi="Arial" w:cs="Arial"/>
                <w:sz w:val="22"/>
                <w:szCs w:val="22"/>
              </w:rPr>
              <w:t xml:space="preserve">Patients with NSTEMI admitted to a cardiac ward on admission are more likely to receive guideline directed </w:t>
            </w:r>
            <w:r w:rsidRPr="00861042">
              <w:rPr>
                <w:rFonts w:ascii="Arial" w:hAnsi="Arial" w:cs="Arial"/>
                <w:sz w:val="22"/>
                <w:szCs w:val="22"/>
              </w:rPr>
              <w:lastRenderedPageBreak/>
              <w:t>management and have better clinical outcomes.</w:t>
            </w:r>
          </w:p>
          <w:p w14:paraId="5A9F6540" w14:textId="77777777" w:rsidR="00852EBD" w:rsidRPr="00861042" w:rsidRDefault="00852EBD" w:rsidP="00852EBD">
            <w:pPr>
              <w:rPr>
                <w:rFonts w:ascii="Arial" w:hAnsi="Arial" w:cs="Arial"/>
                <w:sz w:val="22"/>
                <w:szCs w:val="22"/>
              </w:rPr>
            </w:pPr>
          </w:p>
          <w:p w14:paraId="2070DF2B" w14:textId="1044371D" w:rsidR="00E04890" w:rsidRPr="00861042" w:rsidRDefault="00852EBD" w:rsidP="00852EBD">
            <w:pPr>
              <w:rPr>
                <w:rFonts w:ascii="Arial" w:hAnsi="Arial" w:cs="Arial"/>
                <w:sz w:val="22"/>
                <w:szCs w:val="22"/>
              </w:rPr>
            </w:pPr>
            <w:r w:rsidRPr="00861042">
              <w:rPr>
                <w:rFonts w:ascii="Arial" w:hAnsi="Arial" w:cs="Arial"/>
                <w:sz w:val="22"/>
                <w:szCs w:val="22"/>
              </w:rPr>
              <w:t>European Society of Cardiology Guidelines advise that patients with NSTEMI should be admitted to a monitored unit – coronary care, intensive care or intermediate care depending on risk – and managed by personnel adequately trained to manage life-threatening arrhythmias</w:t>
            </w:r>
            <w:r w:rsidR="00451836" w:rsidRPr="00861042">
              <w:rPr>
                <w:rFonts w:ascii="Arial" w:hAnsi="Arial" w:cs="Arial"/>
                <w:sz w:val="22"/>
                <w:szCs w:val="22"/>
              </w:rPr>
              <w:t>.</w:t>
            </w:r>
          </w:p>
        </w:tc>
        <w:tc>
          <w:tcPr>
            <w:tcW w:w="0" w:type="auto"/>
            <w:shd w:val="clear" w:color="auto" w:fill="auto"/>
          </w:tcPr>
          <w:p w14:paraId="4544D48E" w14:textId="28D9778F" w:rsidR="00716CF3" w:rsidRPr="00861042" w:rsidRDefault="006B061D" w:rsidP="00716CF3">
            <w:pPr>
              <w:rPr>
                <w:rFonts w:ascii="Arial" w:hAnsi="Arial" w:cs="Arial"/>
              </w:rPr>
            </w:pPr>
            <w:r w:rsidRPr="00861042">
              <w:rPr>
                <w:rFonts w:ascii="Arial" w:hAnsi="Arial" w:cs="Arial"/>
                <w:color w:val="000000"/>
                <w:sz w:val="22"/>
                <w:szCs w:val="22"/>
              </w:rPr>
              <w:lastRenderedPageBreak/>
              <w:t>Small increase</w:t>
            </w:r>
            <w:r w:rsidR="00716CF3" w:rsidRPr="00861042">
              <w:rPr>
                <w:rFonts w:ascii="Arial" w:hAnsi="Arial" w:cs="Arial"/>
                <w:color w:val="000000"/>
                <w:sz w:val="22"/>
                <w:szCs w:val="22"/>
              </w:rPr>
              <w:t xml:space="preserve"> in the proportion of patients with NSTEMI who are admitted to a cardiac ward.</w:t>
            </w:r>
          </w:p>
          <w:p w14:paraId="252E2EFE" w14:textId="77777777" w:rsidR="00E04890" w:rsidRPr="00861042" w:rsidRDefault="00E04890" w:rsidP="00E04890">
            <w:pPr>
              <w:rPr>
                <w:rFonts w:ascii="Arial" w:hAnsi="Arial" w:cs="Arial"/>
                <w:sz w:val="22"/>
                <w:szCs w:val="22"/>
              </w:rPr>
            </w:pPr>
          </w:p>
        </w:tc>
      </w:tr>
      <w:tr w:rsidR="00451836" w:rsidRPr="00861042" w14:paraId="29804EC4" w14:textId="77777777" w:rsidTr="00861042">
        <w:tc>
          <w:tcPr>
            <w:tcW w:w="814" w:type="dxa"/>
            <w:shd w:val="clear" w:color="auto" w:fill="auto"/>
          </w:tcPr>
          <w:p w14:paraId="29631B27" w14:textId="70297CDE" w:rsidR="00E04890" w:rsidRPr="00861042" w:rsidRDefault="00E04890" w:rsidP="00C7466A">
            <w:pPr>
              <w:rPr>
                <w:rFonts w:ascii="Arial" w:hAnsi="Arial" w:cs="Arial"/>
                <w:sz w:val="22"/>
                <w:szCs w:val="22"/>
              </w:rPr>
            </w:pPr>
            <w:r w:rsidRPr="00861042">
              <w:rPr>
                <w:rFonts w:ascii="Arial" w:hAnsi="Arial" w:cs="Arial"/>
                <w:sz w:val="22"/>
                <w:szCs w:val="22"/>
              </w:rPr>
              <w:t>Rec 4</w:t>
            </w:r>
          </w:p>
        </w:tc>
        <w:tc>
          <w:tcPr>
            <w:tcW w:w="3390" w:type="dxa"/>
            <w:shd w:val="clear" w:color="auto" w:fill="auto"/>
          </w:tcPr>
          <w:p w14:paraId="768A6E71" w14:textId="7F724A33" w:rsidR="00AA1F8D" w:rsidRPr="00861042" w:rsidRDefault="00AA1F8D" w:rsidP="00AA1F8D">
            <w:pPr>
              <w:spacing w:after="120"/>
              <w:rPr>
                <w:rFonts w:ascii="Arial" w:eastAsia="Calibri" w:hAnsi="Arial" w:cs="Arial"/>
                <w:sz w:val="22"/>
                <w:szCs w:val="22"/>
              </w:rPr>
            </w:pPr>
            <w:r w:rsidRPr="00861042">
              <w:rPr>
                <w:rFonts w:ascii="Arial" w:eastAsia="Calibri" w:hAnsi="Arial" w:cs="Arial"/>
                <w:sz w:val="22"/>
                <w:szCs w:val="22"/>
              </w:rPr>
              <w:t>Hospitals reporting low rates of cardiology involvement in heart attack patient care should ensure their data are accurately reflecting practice. If they do, provision of cardiac care during admissions should be improved (</w:t>
            </w:r>
            <w:proofErr w:type="spellStart"/>
            <w:proofErr w:type="gramStart"/>
            <w:r w:rsidRPr="00861042">
              <w:rPr>
                <w:rFonts w:ascii="Arial" w:eastAsia="Calibri" w:hAnsi="Arial" w:cs="Arial"/>
                <w:sz w:val="22"/>
                <w:szCs w:val="22"/>
              </w:rPr>
              <w:t>eg</w:t>
            </w:r>
            <w:proofErr w:type="spellEnd"/>
            <w:proofErr w:type="gramEnd"/>
            <w:r w:rsidRPr="00861042">
              <w:rPr>
                <w:rFonts w:ascii="Arial" w:eastAsia="Calibri" w:hAnsi="Arial" w:cs="Arial"/>
                <w:sz w:val="22"/>
                <w:szCs w:val="22"/>
              </w:rPr>
              <w:t xml:space="preserve"> by increased staffing or more flexible use of members of the cardiology team, such as </w:t>
            </w:r>
            <w:r w:rsidRPr="00861042">
              <w:rPr>
                <w:rFonts w:ascii="Arial" w:eastAsia="Calibri" w:hAnsi="Arial" w:cs="Arial"/>
                <w:sz w:val="22"/>
                <w:szCs w:val="22"/>
              </w:rPr>
              <w:lastRenderedPageBreak/>
              <w:t>nurse specialists and physician associates).</w:t>
            </w:r>
          </w:p>
          <w:p w14:paraId="5A156A27" w14:textId="36E3D6DB" w:rsidR="00E04890" w:rsidRPr="00861042" w:rsidRDefault="00E04890" w:rsidP="00AA1F8D">
            <w:pPr>
              <w:rPr>
                <w:rFonts w:ascii="Arial" w:hAnsi="Arial" w:cs="Arial"/>
                <w:bCs/>
                <w:color w:val="000000"/>
                <w:sz w:val="22"/>
                <w:szCs w:val="22"/>
              </w:rPr>
            </w:pPr>
          </w:p>
        </w:tc>
        <w:tc>
          <w:tcPr>
            <w:tcW w:w="0" w:type="auto"/>
            <w:shd w:val="clear" w:color="auto" w:fill="auto"/>
          </w:tcPr>
          <w:p w14:paraId="29335E83" w14:textId="0D144FCD" w:rsidR="0014355E" w:rsidRPr="00861042" w:rsidRDefault="0014355E" w:rsidP="00A61C6F">
            <w:pPr>
              <w:rPr>
                <w:rFonts w:ascii="Arial" w:hAnsi="Arial" w:cs="Arial"/>
                <w:sz w:val="22"/>
                <w:szCs w:val="22"/>
              </w:rPr>
            </w:pPr>
            <w:r w:rsidRPr="00861042">
              <w:rPr>
                <w:rFonts w:ascii="Arial" w:hAnsi="Arial" w:cs="Arial"/>
                <w:sz w:val="22"/>
                <w:szCs w:val="22"/>
              </w:rPr>
              <w:lastRenderedPageBreak/>
              <w:t xml:space="preserve">MINAP report, </w:t>
            </w:r>
            <w:r w:rsidR="00DC37A9" w:rsidRPr="00861042">
              <w:rPr>
                <w:rFonts w:ascii="Arial" w:hAnsi="Arial" w:cs="Arial"/>
                <w:sz w:val="22"/>
                <w:szCs w:val="22"/>
              </w:rPr>
              <w:t>Section 3.6.</w:t>
            </w:r>
          </w:p>
          <w:p w14:paraId="3000A978" w14:textId="77777777" w:rsidR="0014355E" w:rsidRPr="00861042" w:rsidRDefault="0014355E" w:rsidP="00A61C6F">
            <w:pPr>
              <w:rPr>
                <w:rFonts w:ascii="Arial" w:hAnsi="Arial" w:cs="Arial"/>
                <w:sz w:val="22"/>
                <w:szCs w:val="22"/>
              </w:rPr>
            </w:pPr>
          </w:p>
          <w:p w14:paraId="1785D630" w14:textId="059E6CC4" w:rsidR="00716CF3" w:rsidRPr="00861042" w:rsidRDefault="00DC37A9" w:rsidP="00A61C6F">
            <w:pPr>
              <w:rPr>
                <w:rFonts w:ascii="Arial" w:hAnsi="Arial" w:cs="Arial"/>
                <w:sz w:val="22"/>
                <w:szCs w:val="22"/>
              </w:rPr>
            </w:pPr>
            <w:r w:rsidRPr="00861042">
              <w:rPr>
                <w:rFonts w:ascii="Arial" w:hAnsi="Arial" w:cs="Arial"/>
                <w:sz w:val="22"/>
                <w:szCs w:val="22"/>
              </w:rPr>
              <w:t xml:space="preserve">The proportion of patients seen by </w:t>
            </w:r>
            <w:r w:rsidR="007A1A93" w:rsidRPr="00861042">
              <w:rPr>
                <w:rFonts w:ascii="Arial" w:hAnsi="Arial" w:cs="Arial"/>
                <w:sz w:val="22"/>
                <w:szCs w:val="22"/>
              </w:rPr>
              <w:t xml:space="preserve">a </w:t>
            </w:r>
            <w:r w:rsidRPr="00861042">
              <w:rPr>
                <w:rFonts w:ascii="Arial" w:hAnsi="Arial" w:cs="Arial"/>
                <w:sz w:val="22"/>
                <w:szCs w:val="22"/>
              </w:rPr>
              <w:t>cardiolog</w:t>
            </w:r>
            <w:r w:rsidR="00FF26B0" w:rsidRPr="00861042">
              <w:rPr>
                <w:rFonts w:ascii="Arial" w:hAnsi="Arial" w:cs="Arial"/>
                <w:sz w:val="22"/>
                <w:szCs w:val="22"/>
              </w:rPr>
              <w:t>y specialist team</w:t>
            </w:r>
            <w:r w:rsidRPr="00861042">
              <w:rPr>
                <w:rFonts w:ascii="Arial" w:hAnsi="Arial" w:cs="Arial"/>
                <w:sz w:val="22"/>
                <w:szCs w:val="22"/>
              </w:rPr>
              <w:t xml:space="preserve"> during the index admission has been greater than 90% over the last 10 </w:t>
            </w:r>
            <w:proofErr w:type="gramStart"/>
            <w:r w:rsidRPr="00861042">
              <w:rPr>
                <w:rFonts w:ascii="Arial" w:hAnsi="Arial" w:cs="Arial"/>
                <w:sz w:val="22"/>
                <w:szCs w:val="22"/>
              </w:rPr>
              <w:t>years, and</w:t>
            </w:r>
            <w:proofErr w:type="gramEnd"/>
            <w:r w:rsidRPr="00861042">
              <w:rPr>
                <w:rFonts w:ascii="Arial" w:hAnsi="Arial" w:cs="Arial"/>
                <w:sz w:val="22"/>
                <w:szCs w:val="22"/>
              </w:rPr>
              <w:t xml:space="preserve"> is at its highest level this </w:t>
            </w:r>
            <w:r w:rsidRPr="00861042">
              <w:rPr>
                <w:rFonts w:ascii="Arial" w:hAnsi="Arial" w:cs="Arial"/>
                <w:sz w:val="22"/>
                <w:szCs w:val="22"/>
              </w:rPr>
              <w:lastRenderedPageBreak/>
              <w:t>year – 97.3% [Figure 3.9]</w:t>
            </w:r>
            <w:r w:rsidR="007A1A93" w:rsidRPr="00861042">
              <w:rPr>
                <w:rFonts w:ascii="Arial" w:hAnsi="Arial" w:cs="Arial"/>
                <w:sz w:val="22"/>
                <w:szCs w:val="22"/>
              </w:rPr>
              <w:t>.</w:t>
            </w:r>
          </w:p>
          <w:p w14:paraId="100ED18C" w14:textId="77777777" w:rsidR="00DC37A9" w:rsidRPr="00861042" w:rsidRDefault="00DC37A9" w:rsidP="00A61C6F">
            <w:pPr>
              <w:rPr>
                <w:rFonts w:ascii="Arial" w:hAnsi="Arial" w:cs="Arial"/>
                <w:sz w:val="22"/>
                <w:szCs w:val="22"/>
              </w:rPr>
            </w:pPr>
          </w:p>
          <w:p w14:paraId="029642D9" w14:textId="599E57E4" w:rsidR="00716CF3" w:rsidRPr="00861042" w:rsidRDefault="00716CF3" w:rsidP="009660B4">
            <w:pPr>
              <w:rPr>
                <w:rFonts w:ascii="Arial" w:hAnsi="Arial" w:cs="Arial"/>
                <w:sz w:val="22"/>
                <w:szCs w:val="22"/>
              </w:rPr>
            </w:pPr>
            <w:r w:rsidRPr="00861042">
              <w:rPr>
                <w:rFonts w:ascii="Arial" w:hAnsi="Arial" w:cs="Arial"/>
                <w:sz w:val="22"/>
                <w:szCs w:val="22"/>
              </w:rPr>
              <w:t xml:space="preserve">Little variation - </w:t>
            </w:r>
            <w:r w:rsidR="00FF26B0" w:rsidRPr="00861042">
              <w:rPr>
                <w:rFonts w:ascii="Arial" w:hAnsi="Arial" w:cs="Arial"/>
                <w:sz w:val="22"/>
                <w:szCs w:val="22"/>
              </w:rPr>
              <w:t>a</w:t>
            </w:r>
            <w:r w:rsidR="00DC37A9" w:rsidRPr="00861042">
              <w:rPr>
                <w:rFonts w:ascii="Arial" w:hAnsi="Arial" w:cs="Arial"/>
                <w:sz w:val="22"/>
                <w:szCs w:val="22"/>
              </w:rPr>
              <w:t>t least 90% of patients with NSTEMI are seen by a member of the specialist cardiology team in all but 10 hospitals</w:t>
            </w:r>
            <w:r w:rsidRPr="00861042">
              <w:rPr>
                <w:rFonts w:ascii="Arial" w:hAnsi="Arial" w:cs="Arial"/>
                <w:sz w:val="22"/>
                <w:szCs w:val="22"/>
              </w:rPr>
              <w:t xml:space="preserve"> [</w:t>
            </w:r>
            <w:r w:rsidR="009660B4" w:rsidRPr="00861042">
              <w:rPr>
                <w:rFonts w:ascii="Arial" w:hAnsi="Arial" w:cs="Arial"/>
                <w:sz w:val="22"/>
                <w:szCs w:val="22"/>
              </w:rPr>
              <w:t>Figure 3.1</w:t>
            </w:r>
            <w:r w:rsidR="00DC37A9" w:rsidRPr="00861042">
              <w:rPr>
                <w:rFonts w:ascii="Arial" w:hAnsi="Arial" w:cs="Arial"/>
                <w:sz w:val="22"/>
                <w:szCs w:val="22"/>
              </w:rPr>
              <w:t>1</w:t>
            </w:r>
            <w:r w:rsidRPr="00861042">
              <w:rPr>
                <w:rFonts w:ascii="Arial" w:hAnsi="Arial" w:cs="Arial"/>
                <w:sz w:val="22"/>
                <w:szCs w:val="22"/>
              </w:rPr>
              <w:t>]</w:t>
            </w:r>
            <w:r w:rsidR="00FF26B0" w:rsidRPr="00861042">
              <w:rPr>
                <w:rFonts w:ascii="Arial" w:hAnsi="Arial" w:cs="Arial"/>
                <w:sz w:val="22"/>
                <w:szCs w:val="22"/>
              </w:rPr>
              <w:t>.</w:t>
            </w:r>
          </w:p>
        </w:tc>
        <w:tc>
          <w:tcPr>
            <w:tcW w:w="0" w:type="auto"/>
            <w:gridSpan w:val="2"/>
            <w:shd w:val="clear" w:color="auto" w:fill="auto"/>
          </w:tcPr>
          <w:p w14:paraId="5E452A98" w14:textId="77777777" w:rsidR="00716CF3" w:rsidRPr="00861042" w:rsidRDefault="00716CF3" w:rsidP="00716CF3">
            <w:pPr>
              <w:rPr>
                <w:rFonts w:ascii="Arial" w:hAnsi="Arial" w:cs="Arial"/>
                <w:color w:val="000000"/>
                <w:sz w:val="22"/>
                <w:szCs w:val="22"/>
              </w:rPr>
            </w:pPr>
            <w:r w:rsidRPr="00861042">
              <w:rPr>
                <w:rFonts w:ascii="Arial" w:hAnsi="Arial" w:cs="Arial"/>
                <w:color w:val="000000"/>
                <w:sz w:val="22"/>
                <w:szCs w:val="22"/>
              </w:rPr>
              <w:lastRenderedPageBreak/>
              <w:t>No national standard has been published for the proportion of patients with NSTEMI being seen by a member of the specialist cardiology team during their admission.</w:t>
            </w:r>
          </w:p>
          <w:p w14:paraId="1E7FF305" w14:textId="77777777" w:rsidR="00716CF3" w:rsidRPr="00861042" w:rsidRDefault="00716CF3" w:rsidP="00716CF3">
            <w:pPr>
              <w:rPr>
                <w:rFonts w:ascii="Arial" w:hAnsi="Arial" w:cs="Arial"/>
                <w:color w:val="000000"/>
                <w:sz w:val="22"/>
                <w:szCs w:val="22"/>
              </w:rPr>
            </w:pPr>
          </w:p>
          <w:p w14:paraId="2D9ACC93" w14:textId="61DB459C" w:rsidR="00716CF3" w:rsidRPr="00861042" w:rsidRDefault="00716CF3" w:rsidP="00716CF3">
            <w:pPr>
              <w:rPr>
                <w:rFonts w:ascii="Arial" w:hAnsi="Arial" w:cs="Arial"/>
              </w:rPr>
            </w:pPr>
            <w:r w:rsidRPr="00861042">
              <w:rPr>
                <w:rFonts w:ascii="Arial" w:hAnsi="Arial" w:cs="Arial"/>
                <w:color w:val="000000"/>
                <w:sz w:val="22"/>
                <w:szCs w:val="22"/>
              </w:rPr>
              <w:lastRenderedPageBreak/>
              <w:t>Discussion with MINAP ‘Domain Expert Group’ led to an aim for 100% achievement.</w:t>
            </w:r>
          </w:p>
          <w:p w14:paraId="598F28CA" w14:textId="3DC4404A" w:rsidR="00E04890" w:rsidRPr="00861042" w:rsidRDefault="00E04890" w:rsidP="00A61C6F">
            <w:pPr>
              <w:rPr>
                <w:rFonts w:ascii="Arial" w:hAnsi="Arial" w:cs="Arial"/>
                <w:color w:val="000000"/>
                <w:sz w:val="22"/>
                <w:szCs w:val="22"/>
              </w:rPr>
            </w:pPr>
          </w:p>
        </w:tc>
        <w:tc>
          <w:tcPr>
            <w:tcW w:w="0" w:type="auto"/>
            <w:shd w:val="clear" w:color="auto" w:fill="auto"/>
          </w:tcPr>
          <w:p w14:paraId="641CC2CC" w14:textId="01C5FCB3" w:rsidR="00E04890" w:rsidRPr="00861042" w:rsidRDefault="00E04890" w:rsidP="00C7466A">
            <w:pPr>
              <w:rPr>
                <w:rFonts w:ascii="Arial" w:hAnsi="Arial" w:cs="Arial"/>
                <w:sz w:val="22"/>
                <w:szCs w:val="22"/>
              </w:rPr>
            </w:pPr>
          </w:p>
        </w:tc>
        <w:tc>
          <w:tcPr>
            <w:tcW w:w="0" w:type="auto"/>
            <w:shd w:val="clear" w:color="auto" w:fill="auto"/>
          </w:tcPr>
          <w:p w14:paraId="3E69EECA" w14:textId="240318B2" w:rsidR="00E04890" w:rsidRPr="00861042" w:rsidRDefault="00716CF3" w:rsidP="00716CF3">
            <w:pPr>
              <w:rPr>
                <w:rFonts w:ascii="Arial" w:hAnsi="Arial" w:cs="Arial"/>
                <w:sz w:val="22"/>
                <w:szCs w:val="22"/>
              </w:rPr>
            </w:pPr>
            <w:r w:rsidRPr="00861042">
              <w:rPr>
                <w:rFonts w:ascii="Arial" w:hAnsi="Arial" w:cs="Arial"/>
                <w:sz w:val="22"/>
                <w:szCs w:val="22"/>
              </w:rPr>
              <w:t>Patients with NSTEMI admitted under a cardiologist within 24 hours of hospital admission are more likely to receive guideline directed management and have better clinical outcomes</w:t>
            </w:r>
            <w:r w:rsidR="00451836" w:rsidRPr="00861042">
              <w:rPr>
                <w:rFonts w:ascii="Arial" w:hAnsi="Arial" w:cs="Arial"/>
                <w:sz w:val="22"/>
                <w:szCs w:val="22"/>
              </w:rPr>
              <w:t>.</w:t>
            </w:r>
          </w:p>
        </w:tc>
        <w:tc>
          <w:tcPr>
            <w:tcW w:w="0" w:type="auto"/>
            <w:shd w:val="clear" w:color="auto" w:fill="auto"/>
          </w:tcPr>
          <w:p w14:paraId="09FFDBB7" w14:textId="77777777" w:rsidR="00D23BD4" w:rsidRPr="00861042" w:rsidRDefault="00D23BD4" w:rsidP="00D23BD4">
            <w:pPr>
              <w:rPr>
                <w:rFonts w:ascii="Arial" w:hAnsi="Arial" w:cs="Arial"/>
                <w:color w:val="000000"/>
                <w:sz w:val="22"/>
                <w:szCs w:val="22"/>
              </w:rPr>
            </w:pPr>
            <w:r w:rsidRPr="00861042">
              <w:rPr>
                <w:rFonts w:ascii="Arial" w:hAnsi="Arial" w:cs="Arial"/>
                <w:color w:val="000000"/>
                <w:sz w:val="22"/>
                <w:szCs w:val="22"/>
              </w:rPr>
              <w:t>The proportion of patients with NSTEMI who are seen by cardiologists during admission remains high.</w:t>
            </w:r>
          </w:p>
          <w:p w14:paraId="00FA9DB1" w14:textId="76656502" w:rsidR="00E04890" w:rsidRPr="00861042" w:rsidRDefault="00E04890" w:rsidP="00650629">
            <w:pPr>
              <w:rPr>
                <w:rFonts w:ascii="Arial" w:hAnsi="Arial" w:cs="Arial"/>
                <w:color w:val="000000"/>
                <w:sz w:val="22"/>
                <w:szCs w:val="22"/>
              </w:rPr>
            </w:pPr>
          </w:p>
        </w:tc>
      </w:tr>
      <w:tr w:rsidR="00451836" w:rsidRPr="00861042" w14:paraId="4958BCE2" w14:textId="77777777" w:rsidTr="00861042">
        <w:tc>
          <w:tcPr>
            <w:tcW w:w="814" w:type="dxa"/>
            <w:shd w:val="clear" w:color="auto" w:fill="auto"/>
          </w:tcPr>
          <w:p w14:paraId="2D0CF48D" w14:textId="32BDA21B" w:rsidR="00E04890" w:rsidRPr="00861042" w:rsidRDefault="00E04890" w:rsidP="00C7466A">
            <w:pPr>
              <w:rPr>
                <w:rFonts w:ascii="Arial" w:hAnsi="Arial" w:cs="Arial"/>
                <w:sz w:val="22"/>
                <w:szCs w:val="22"/>
              </w:rPr>
            </w:pPr>
            <w:r w:rsidRPr="00861042">
              <w:rPr>
                <w:rFonts w:ascii="Arial" w:hAnsi="Arial" w:cs="Arial"/>
                <w:sz w:val="22"/>
                <w:szCs w:val="22"/>
              </w:rPr>
              <w:t>Rec 5</w:t>
            </w:r>
          </w:p>
        </w:tc>
        <w:tc>
          <w:tcPr>
            <w:tcW w:w="3390" w:type="dxa"/>
            <w:shd w:val="clear" w:color="auto" w:fill="auto"/>
          </w:tcPr>
          <w:p w14:paraId="55D398FD" w14:textId="77777777" w:rsidR="00974803" w:rsidRPr="00861042" w:rsidRDefault="00974803" w:rsidP="00974803">
            <w:pPr>
              <w:rPr>
                <w:rFonts w:ascii="Arial" w:eastAsia="Calibri" w:hAnsi="Arial" w:cs="Arial"/>
                <w:sz w:val="22"/>
                <w:szCs w:val="22"/>
              </w:rPr>
            </w:pPr>
            <w:r w:rsidRPr="00861042">
              <w:rPr>
                <w:rFonts w:ascii="Arial" w:eastAsia="Calibri" w:hAnsi="Arial" w:cs="Arial"/>
                <w:sz w:val="22"/>
                <w:szCs w:val="22"/>
              </w:rPr>
              <w:t>Low rates of angiography in eligible NSTEMI patients require hospitals to review their systems for managing acute coronary syndromes (ACS).</w:t>
            </w:r>
          </w:p>
          <w:p w14:paraId="7D85A338" w14:textId="77777777" w:rsidR="00974803" w:rsidRPr="00861042" w:rsidRDefault="00974803" w:rsidP="00974803">
            <w:pPr>
              <w:rPr>
                <w:rFonts w:ascii="Arial" w:hAnsi="Arial" w:cs="Arial"/>
                <w:bCs/>
                <w:color w:val="000000" w:themeColor="text1"/>
                <w:sz w:val="22"/>
                <w:szCs w:val="22"/>
              </w:rPr>
            </w:pPr>
          </w:p>
          <w:p w14:paraId="70039E0F" w14:textId="77777777" w:rsidR="00974803" w:rsidRPr="00861042" w:rsidRDefault="00974803" w:rsidP="00D23BD4">
            <w:pPr>
              <w:rPr>
                <w:rFonts w:ascii="Arial" w:hAnsi="Arial" w:cs="Arial"/>
                <w:bCs/>
                <w:color w:val="000000" w:themeColor="text1"/>
                <w:sz w:val="22"/>
                <w:szCs w:val="22"/>
              </w:rPr>
            </w:pPr>
          </w:p>
          <w:p w14:paraId="650E9565" w14:textId="77777777" w:rsidR="00E04890" w:rsidRPr="00861042" w:rsidRDefault="00E04890" w:rsidP="00974803">
            <w:pPr>
              <w:rPr>
                <w:rFonts w:ascii="Arial" w:hAnsi="Arial" w:cs="Arial"/>
              </w:rPr>
            </w:pPr>
          </w:p>
        </w:tc>
        <w:tc>
          <w:tcPr>
            <w:tcW w:w="0" w:type="auto"/>
            <w:shd w:val="clear" w:color="auto" w:fill="auto"/>
          </w:tcPr>
          <w:p w14:paraId="24723B42" w14:textId="117771C8" w:rsidR="0014355E" w:rsidRPr="00861042" w:rsidRDefault="0014355E" w:rsidP="00650629">
            <w:pPr>
              <w:rPr>
                <w:rFonts w:ascii="Arial" w:hAnsi="Arial" w:cs="Arial"/>
                <w:sz w:val="22"/>
                <w:szCs w:val="22"/>
              </w:rPr>
            </w:pPr>
            <w:r w:rsidRPr="00861042">
              <w:rPr>
                <w:rFonts w:ascii="Arial" w:hAnsi="Arial" w:cs="Arial"/>
                <w:sz w:val="22"/>
                <w:szCs w:val="22"/>
              </w:rPr>
              <w:t xml:space="preserve">MINAP report, </w:t>
            </w:r>
            <w:r w:rsidR="00DC37A9" w:rsidRPr="00861042">
              <w:rPr>
                <w:rFonts w:ascii="Arial" w:hAnsi="Arial" w:cs="Arial"/>
                <w:sz w:val="22"/>
                <w:szCs w:val="22"/>
              </w:rPr>
              <w:t>Section 3.7.</w:t>
            </w:r>
          </w:p>
          <w:p w14:paraId="497FEDD3" w14:textId="77777777" w:rsidR="0014355E" w:rsidRPr="00861042" w:rsidRDefault="0014355E" w:rsidP="00650629">
            <w:pPr>
              <w:rPr>
                <w:rFonts w:ascii="Arial" w:hAnsi="Arial" w:cs="Arial"/>
                <w:sz w:val="22"/>
                <w:szCs w:val="22"/>
              </w:rPr>
            </w:pPr>
          </w:p>
          <w:p w14:paraId="475F6C12" w14:textId="3F171D4F" w:rsidR="00D23BD4" w:rsidRPr="00861042" w:rsidRDefault="00D23BD4" w:rsidP="00650629">
            <w:pPr>
              <w:rPr>
                <w:rFonts w:ascii="Arial" w:hAnsi="Arial" w:cs="Arial"/>
                <w:sz w:val="22"/>
                <w:szCs w:val="22"/>
              </w:rPr>
            </w:pPr>
            <w:r w:rsidRPr="00861042">
              <w:rPr>
                <w:rFonts w:ascii="Arial" w:hAnsi="Arial" w:cs="Arial"/>
                <w:sz w:val="22"/>
                <w:szCs w:val="22"/>
              </w:rPr>
              <w:t>Improvements in rate of angiography seen</w:t>
            </w:r>
            <w:r w:rsidR="00DF5E1E" w:rsidRPr="00861042">
              <w:rPr>
                <w:rFonts w:ascii="Arial" w:hAnsi="Arial" w:cs="Arial"/>
                <w:sz w:val="22"/>
                <w:szCs w:val="22"/>
              </w:rPr>
              <w:t>.</w:t>
            </w:r>
            <w:r w:rsidRPr="00861042">
              <w:rPr>
                <w:rFonts w:ascii="Arial" w:hAnsi="Arial" w:cs="Arial"/>
                <w:sz w:val="22"/>
                <w:szCs w:val="22"/>
              </w:rPr>
              <w:t xml:space="preserve"> </w:t>
            </w:r>
            <w:r w:rsidR="00DC37A9" w:rsidRPr="00861042">
              <w:rPr>
                <w:rFonts w:ascii="Arial" w:hAnsi="Arial" w:cs="Arial"/>
                <w:sz w:val="22"/>
                <w:szCs w:val="22"/>
              </w:rPr>
              <w:t xml:space="preserve">There was a small increase in the proportion of patients who underwent angiography (83%) compared with the previous year, a rate that remains </w:t>
            </w:r>
            <w:proofErr w:type="gramStart"/>
            <w:r w:rsidR="00DC37A9" w:rsidRPr="00861042">
              <w:rPr>
                <w:rFonts w:ascii="Arial" w:hAnsi="Arial" w:cs="Arial"/>
                <w:sz w:val="22"/>
                <w:szCs w:val="22"/>
              </w:rPr>
              <w:t>similar to</w:t>
            </w:r>
            <w:proofErr w:type="gramEnd"/>
            <w:r w:rsidR="00DC37A9" w:rsidRPr="00861042">
              <w:rPr>
                <w:rFonts w:ascii="Arial" w:hAnsi="Arial" w:cs="Arial"/>
                <w:sz w:val="22"/>
                <w:szCs w:val="22"/>
              </w:rPr>
              <w:t xml:space="preserve"> those observed per-pandemic</w:t>
            </w:r>
            <w:r w:rsidR="00B147EE" w:rsidRPr="00861042">
              <w:rPr>
                <w:rFonts w:ascii="Arial" w:hAnsi="Arial" w:cs="Arial"/>
                <w:sz w:val="22"/>
                <w:szCs w:val="22"/>
              </w:rPr>
              <w:t xml:space="preserve"> [</w:t>
            </w:r>
            <w:r w:rsidR="006B061D" w:rsidRPr="00861042">
              <w:rPr>
                <w:rFonts w:ascii="Arial" w:hAnsi="Arial" w:cs="Arial"/>
                <w:sz w:val="22"/>
                <w:szCs w:val="22"/>
              </w:rPr>
              <w:t>Figure 3.12]</w:t>
            </w:r>
            <w:r w:rsidR="00B147EE" w:rsidRPr="00861042">
              <w:rPr>
                <w:rFonts w:ascii="Arial" w:hAnsi="Arial" w:cs="Arial"/>
                <w:sz w:val="22"/>
                <w:szCs w:val="22"/>
              </w:rPr>
              <w:t>.</w:t>
            </w:r>
          </w:p>
          <w:p w14:paraId="6F1A6E2E" w14:textId="77777777" w:rsidR="00DC37A9" w:rsidRPr="00861042" w:rsidRDefault="00DC37A9" w:rsidP="00650629">
            <w:pPr>
              <w:rPr>
                <w:rFonts w:ascii="Arial" w:hAnsi="Arial" w:cs="Arial"/>
                <w:sz w:val="22"/>
                <w:szCs w:val="22"/>
              </w:rPr>
            </w:pPr>
          </w:p>
          <w:p w14:paraId="7B862B2A" w14:textId="1602AC54" w:rsidR="00D23BD4" w:rsidRPr="00861042" w:rsidRDefault="00DC37A9" w:rsidP="009660B4">
            <w:pPr>
              <w:rPr>
                <w:rFonts w:ascii="Arial" w:hAnsi="Arial" w:cs="Arial"/>
                <w:sz w:val="22"/>
                <w:szCs w:val="22"/>
              </w:rPr>
            </w:pPr>
            <w:r w:rsidRPr="00861042">
              <w:rPr>
                <w:rFonts w:ascii="Arial" w:hAnsi="Arial" w:cs="Arial"/>
                <w:sz w:val="22"/>
                <w:szCs w:val="22"/>
              </w:rPr>
              <w:t xml:space="preserve">At least 90% of patients with NSTEMI who are eligible for angiography undergo angiography before discharge in 97 </w:t>
            </w:r>
            <w:r w:rsidRPr="00861042">
              <w:rPr>
                <w:rFonts w:ascii="Arial" w:hAnsi="Arial" w:cs="Arial"/>
                <w:sz w:val="22"/>
                <w:szCs w:val="22"/>
              </w:rPr>
              <w:lastRenderedPageBreak/>
              <w:t>hospitals; fewer than 70% of such patients undergo angiography in 19 hospitals</w:t>
            </w:r>
            <w:r w:rsidR="00B147EE" w:rsidRPr="00861042">
              <w:rPr>
                <w:rFonts w:ascii="Arial" w:hAnsi="Arial" w:cs="Arial"/>
                <w:sz w:val="22"/>
                <w:szCs w:val="22"/>
              </w:rPr>
              <w:t xml:space="preserve"> </w:t>
            </w:r>
            <w:r w:rsidR="00D23BD4" w:rsidRPr="00861042">
              <w:rPr>
                <w:rFonts w:ascii="Arial" w:hAnsi="Arial" w:cs="Arial"/>
                <w:sz w:val="22"/>
                <w:szCs w:val="22"/>
              </w:rPr>
              <w:t>[</w:t>
            </w:r>
            <w:r w:rsidR="009660B4" w:rsidRPr="00861042">
              <w:rPr>
                <w:rFonts w:ascii="Arial" w:hAnsi="Arial" w:cs="Arial"/>
                <w:sz w:val="22"/>
                <w:szCs w:val="22"/>
              </w:rPr>
              <w:t>Figure 3.1</w:t>
            </w:r>
            <w:r w:rsidRPr="00861042">
              <w:rPr>
                <w:rFonts w:ascii="Arial" w:hAnsi="Arial" w:cs="Arial"/>
                <w:sz w:val="22"/>
                <w:szCs w:val="22"/>
              </w:rPr>
              <w:t>3</w:t>
            </w:r>
            <w:r w:rsidR="00D23BD4" w:rsidRPr="00861042">
              <w:rPr>
                <w:rFonts w:ascii="Arial" w:hAnsi="Arial" w:cs="Arial"/>
                <w:sz w:val="22"/>
                <w:szCs w:val="22"/>
              </w:rPr>
              <w:t>]</w:t>
            </w:r>
            <w:r w:rsidR="00B147EE" w:rsidRPr="00861042">
              <w:rPr>
                <w:rFonts w:ascii="Arial" w:hAnsi="Arial" w:cs="Arial"/>
                <w:sz w:val="22"/>
                <w:szCs w:val="22"/>
              </w:rPr>
              <w:t>.</w:t>
            </w:r>
          </w:p>
        </w:tc>
        <w:tc>
          <w:tcPr>
            <w:tcW w:w="0" w:type="auto"/>
            <w:gridSpan w:val="2"/>
            <w:shd w:val="clear" w:color="auto" w:fill="auto"/>
          </w:tcPr>
          <w:p w14:paraId="16D75EAA" w14:textId="77777777" w:rsidR="00D23BD4" w:rsidRPr="00861042" w:rsidRDefault="00D23BD4" w:rsidP="00D23BD4">
            <w:pPr>
              <w:pStyle w:val="NormalWeb"/>
              <w:rPr>
                <w:rFonts w:ascii="Arial" w:hAnsi="Arial" w:cs="Arial"/>
              </w:rPr>
            </w:pPr>
            <w:r w:rsidRPr="00861042">
              <w:rPr>
                <w:rFonts w:ascii="Arial" w:hAnsi="Arial" w:cs="Arial"/>
                <w:color w:val="000000"/>
                <w:sz w:val="22"/>
                <w:szCs w:val="22"/>
              </w:rPr>
              <w:lastRenderedPageBreak/>
              <w:t xml:space="preserve">No national standard has been </w:t>
            </w:r>
            <w:proofErr w:type="gramStart"/>
            <w:r w:rsidRPr="00861042">
              <w:rPr>
                <w:rFonts w:ascii="Arial" w:hAnsi="Arial" w:cs="Arial"/>
                <w:color w:val="000000"/>
                <w:sz w:val="22"/>
                <w:szCs w:val="22"/>
              </w:rPr>
              <w:t>published, but</w:t>
            </w:r>
            <w:proofErr w:type="gramEnd"/>
            <w:r w:rsidRPr="00861042">
              <w:rPr>
                <w:rFonts w:ascii="Arial" w:hAnsi="Arial" w:cs="Arial"/>
                <w:color w:val="000000"/>
                <w:sz w:val="22"/>
                <w:szCs w:val="22"/>
              </w:rPr>
              <w:t xml:space="preserve"> aim for 100% given that those judged to be ineligible for angiography are excluded from the analysis.</w:t>
            </w:r>
          </w:p>
          <w:p w14:paraId="6532E48A" w14:textId="7E76BBF6" w:rsidR="00E04890" w:rsidRPr="00861042" w:rsidRDefault="00E04890" w:rsidP="00D23BD4">
            <w:pPr>
              <w:rPr>
                <w:rFonts w:ascii="Arial" w:hAnsi="Arial" w:cs="Arial"/>
                <w:color w:val="000000"/>
                <w:sz w:val="22"/>
                <w:szCs w:val="22"/>
              </w:rPr>
            </w:pPr>
          </w:p>
        </w:tc>
        <w:tc>
          <w:tcPr>
            <w:tcW w:w="0" w:type="auto"/>
            <w:shd w:val="clear" w:color="auto" w:fill="auto"/>
          </w:tcPr>
          <w:p w14:paraId="6C766CC1" w14:textId="237BFF53" w:rsidR="00E04890" w:rsidRPr="00861042" w:rsidRDefault="00E04890" w:rsidP="00C7466A">
            <w:pPr>
              <w:rPr>
                <w:rFonts w:ascii="Arial" w:hAnsi="Arial" w:cs="Arial"/>
                <w:sz w:val="22"/>
                <w:szCs w:val="22"/>
              </w:rPr>
            </w:pPr>
          </w:p>
        </w:tc>
        <w:tc>
          <w:tcPr>
            <w:tcW w:w="0" w:type="auto"/>
            <w:shd w:val="clear" w:color="auto" w:fill="auto"/>
          </w:tcPr>
          <w:p w14:paraId="2C15CD2C" w14:textId="77777777" w:rsidR="00D23BD4" w:rsidRPr="00861042" w:rsidRDefault="00D23BD4" w:rsidP="00D23BD4">
            <w:pPr>
              <w:rPr>
                <w:rFonts w:ascii="Arial" w:hAnsi="Arial" w:cs="Arial"/>
                <w:color w:val="000000"/>
                <w:sz w:val="22"/>
                <w:szCs w:val="22"/>
              </w:rPr>
            </w:pPr>
            <w:r w:rsidRPr="00861042">
              <w:rPr>
                <w:rFonts w:ascii="Arial" w:hAnsi="Arial" w:cs="Arial"/>
                <w:color w:val="000000"/>
                <w:sz w:val="22"/>
                <w:szCs w:val="22"/>
              </w:rPr>
              <w:t>NICE quality standard (QS 68): ‘Coronary angiography is important to define the extent and severity of coronary disease’.</w:t>
            </w:r>
          </w:p>
          <w:p w14:paraId="5B6CCDC0" w14:textId="77777777" w:rsidR="00D23BD4" w:rsidRPr="00861042" w:rsidRDefault="00D23BD4" w:rsidP="00D23BD4">
            <w:pPr>
              <w:rPr>
                <w:rFonts w:ascii="Arial" w:hAnsi="Arial" w:cs="Arial"/>
                <w:color w:val="000000"/>
                <w:sz w:val="22"/>
                <w:szCs w:val="22"/>
              </w:rPr>
            </w:pPr>
          </w:p>
          <w:p w14:paraId="1637142A" w14:textId="781E2480" w:rsidR="00E04890" w:rsidRPr="00861042" w:rsidRDefault="00D23BD4" w:rsidP="00D23BD4">
            <w:pPr>
              <w:rPr>
                <w:rFonts w:ascii="Arial" w:hAnsi="Arial" w:cs="Arial"/>
                <w:sz w:val="22"/>
                <w:szCs w:val="22"/>
              </w:rPr>
            </w:pPr>
            <w:r w:rsidRPr="00861042">
              <w:rPr>
                <w:rFonts w:ascii="Arial" w:hAnsi="Arial" w:cs="Arial"/>
                <w:color w:val="000000"/>
                <w:sz w:val="22"/>
                <w:szCs w:val="22"/>
              </w:rPr>
              <w:t xml:space="preserve">European Society of Cardiology Guidelines: ‘[Coronary angiography] allows confirmation of the diagnosis, identification of the culprit lesion in a coronary artery, establishment of suitability for PCI or CABG, and stratification of short term and </w:t>
            </w:r>
            <w:proofErr w:type="gramStart"/>
            <w:r w:rsidRPr="00861042">
              <w:rPr>
                <w:rFonts w:ascii="Arial" w:hAnsi="Arial" w:cs="Arial"/>
                <w:color w:val="000000"/>
                <w:sz w:val="22"/>
                <w:szCs w:val="22"/>
              </w:rPr>
              <w:t>long term</w:t>
            </w:r>
            <w:proofErr w:type="gramEnd"/>
            <w:r w:rsidRPr="00861042">
              <w:rPr>
                <w:rFonts w:ascii="Arial" w:hAnsi="Arial" w:cs="Arial"/>
                <w:color w:val="000000"/>
                <w:sz w:val="22"/>
                <w:szCs w:val="22"/>
              </w:rPr>
              <w:t xml:space="preserve"> risk’.</w:t>
            </w:r>
          </w:p>
        </w:tc>
        <w:tc>
          <w:tcPr>
            <w:tcW w:w="0" w:type="auto"/>
            <w:shd w:val="clear" w:color="auto" w:fill="auto"/>
          </w:tcPr>
          <w:p w14:paraId="4ED9A165" w14:textId="20450064" w:rsidR="00376BF4" w:rsidRPr="00861042" w:rsidRDefault="006B061D" w:rsidP="00376BF4">
            <w:pPr>
              <w:rPr>
                <w:rFonts w:ascii="Arial" w:hAnsi="Arial" w:cs="Arial"/>
              </w:rPr>
            </w:pPr>
            <w:r w:rsidRPr="00861042">
              <w:rPr>
                <w:rFonts w:ascii="Arial" w:hAnsi="Arial" w:cs="Arial"/>
                <w:color w:val="000000"/>
                <w:sz w:val="22"/>
                <w:szCs w:val="22"/>
              </w:rPr>
              <w:t>Small i</w:t>
            </w:r>
            <w:r w:rsidR="00376BF4" w:rsidRPr="00861042">
              <w:rPr>
                <w:rFonts w:ascii="Arial" w:hAnsi="Arial" w:cs="Arial"/>
                <w:color w:val="000000"/>
                <w:sz w:val="22"/>
                <w:szCs w:val="22"/>
              </w:rPr>
              <w:t xml:space="preserve">mprovement in the rate of angiography in eligible patients with NSTEMI, </w:t>
            </w:r>
            <w:r w:rsidRPr="00861042">
              <w:rPr>
                <w:rFonts w:ascii="Arial" w:hAnsi="Arial" w:cs="Arial"/>
                <w:color w:val="000000"/>
                <w:sz w:val="22"/>
                <w:szCs w:val="22"/>
              </w:rPr>
              <w:t>compared with previous year</w:t>
            </w:r>
            <w:r w:rsidR="00376BF4" w:rsidRPr="00861042">
              <w:rPr>
                <w:rFonts w:ascii="Arial" w:hAnsi="Arial" w:cs="Arial"/>
                <w:color w:val="000000"/>
                <w:sz w:val="22"/>
                <w:szCs w:val="22"/>
              </w:rPr>
              <w:t xml:space="preserve">, </w:t>
            </w:r>
            <w:r w:rsidRPr="00861042">
              <w:rPr>
                <w:rFonts w:ascii="Arial" w:hAnsi="Arial" w:cs="Arial"/>
                <w:color w:val="000000"/>
                <w:sz w:val="22"/>
                <w:szCs w:val="22"/>
              </w:rPr>
              <w:t xml:space="preserve">rate </w:t>
            </w:r>
            <w:r w:rsidR="00376BF4" w:rsidRPr="00861042">
              <w:rPr>
                <w:rFonts w:ascii="Arial" w:hAnsi="Arial" w:cs="Arial"/>
                <w:color w:val="000000"/>
                <w:sz w:val="22"/>
                <w:szCs w:val="22"/>
              </w:rPr>
              <w:t>remain</w:t>
            </w:r>
            <w:r w:rsidRPr="00861042">
              <w:rPr>
                <w:rFonts w:ascii="Arial" w:hAnsi="Arial" w:cs="Arial"/>
                <w:color w:val="000000"/>
                <w:sz w:val="22"/>
                <w:szCs w:val="22"/>
              </w:rPr>
              <w:t>s</w:t>
            </w:r>
            <w:r w:rsidR="00376BF4" w:rsidRPr="00861042">
              <w:rPr>
                <w:rFonts w:ascii="Arial" w:hAnsi="Arial" w:cs="Arial"/>
                <w:color w:val="000000"/>
                <w:sz w:val="22"/>
                <w:szCs w:val="22"/>
              </w:rPr>
              <w:t xml:space="preserve"> high.</w:t>
            </w:r>
          </w:p>
          <w:p w14:paraId="5A0D3FE3" w14:textId="73803F28" w:rsidR="00E04890" w:rsidRPr="00861042" w:rsidRDefault="00E04890" w:rsidP="002C5553">
            <w:pPr>
              <w:rPr>
                <w:rFonts w:ascii="Arial" w:hAnsi="Arial" w:cs="Arial"/>
                <w:sz w:val="22"/>
                <w:szCs w:val="22"/>
              </w:rPr>
            </w:pPr>
          </w:p>
        </w:tc>
      </w:tr>
      <w:tr w:rsidR="00451836" w:rsidRPr="00861042" w14:paraId="29DA5440" w14:textId="77777777" w:rsidTr="00861042">
        <w:tc>
          <w:tcPr>
            <w:tcW w:w="814" w:type="dxa"/>
            <w:shd w:val="clear" w:color="auto" w:fill="auto"/>
          </w:tcPr>
          <w:p w14:paraId="66B635C2" w14:textId="4D582493" w:rsidR="00E04890" w:rsidRPr="00861042" w:rsidRDefault="00E04890" w:rsidP="00C7466A">
            <w:pPr>
              <w:rPr>
                <w:rFonts w:ascii="Arial" w:hAnsi="Arial" w:cs="Arial"/>
                <w:sz w:val="22"/>
                <w:szCs w:val="22"/>
              </w:rPr>
            </w:pPr>
            <w:r w:rsidRPr="00861042">
              <w:rPr>
                <w:rFonts w:ascii="Arial" w:hAnsi="Arial" w:cs="Arial"/>
                <w:sz w:val="22"/>
                <w:szCs w:val="22"/>
              </w:rPr>
              <w:t>Rec 6</w:t>
            </w:r>
          </w:p>
        </w:tc>
        <w:tc>
          <w:tcPr>
            <w:tcW w:w="3390" w:type="dxa"/>
            <w:shd w:val="clear" w:color="auto" w:fill="auto"/>
          </w:tcPr>
          <w:p w14:paraId="3675958E" w14:textId="77777777" w:rsidR="00D32FA9" w:rsidRPr="00861042" w:rsidRDefault="00D32FA9" w:rsidP="00D32FA9">
            <w:pPr>
              <w:spacing w:after="120"/>
              <w:rPr>
                <w:rFonts w:ascii="Arial" w:eastAsia="Calibri" w:hAnsi="Arial" w:cs="Arial"/>
                <w:sz w:val="22"/>
                <w:szCs w:val="22"/>
              </w:rPr>
            </w:pPr>
            <w:bookmarkStart w:id="0" w:name="_Hlk131334454"/>
            <w:r w:rsidRPr="00861042">
              <w:rPr>
                <w:rFonts w:ascii="Arial" w:eastAsia="Calibri" w:hAnsi="Arial" w:cs="Arial"/>
                <w:sz w:val="22"/>
                <w:szCs w:val="22"/>
              </w:rPr>
              <w:t>Where angiography for NSTEMI takes more than 72-hours, hospitals and commissioners should review pathways, referral networks and service commissioning to make quality improvements. Any lessons regarding more timely care that were learned during the pandemic should be incorporated within existing pathways.</w:t>
            </w:r>
          </w:p>
          <w:p w14:paraId="57F745A5" w14:textId="77777777" w:rsidR="00D32FA9" w:rsidRPr="00861042" w:rsidRDefault="00D32FA9" w:rsidP="00D32FA9">
            <w:pPr>
              <w:rPr>
                <w:rFonts w:ascii="Arial" w:eastAsia="Calibri" w:hAnsi="Arial" w:cs="Arial"/>
                <w:sz w:val="22"/>
                <w:szCs w:val="22"/>
              </w:rPr>
            </w:pPr>
            <w:r w:rsidRPr="00861042">
              <w:rPr>
                <w:rFonts w:ascii="Arial" w:eastAsia="Calibri" w:hAnsi="Arial" w:cs="Arial"/>
                <w:sz w:val="22"/>
                <w:szCs w:val="22"/>
              </w:rPr>
              <w:t>There should be an emphasis on early and reliable identification of suitable patients, streamlined referrals, and adequate capacity for transferring patients into (and out of) interventional hospitals. This will involve weekend angiography lists for such patients.</w:t>
            </w:r>
          </w:p>
          <w:bookmarkEnd w:id="0"/>
          <w:p w14:paraId="6C150648" w14:textId="77777777" w:rsidR="00D32FA9" w:rsidRPr="00861042" w:rsidRDefault="00D32FA9" w:rsidP="00376BF4">
            <w:pPr>
              <w:rPr>
                <w:rFonts w:ascii="Arial" w:hAnsi="Arial" w:cs="Arial"/>
                <w:bCs/>
                <w:sz w:val="22"/>
                <w:szCs w:val="22"/>
              </w:rPr>
            </w:pPr>
          </w:p>
          <w:p w14:paraId="46E2D027" w14:textId="77777777" w:rsidR="00376BF4" w:rsidRPr="00861042" w:rsidRDefault="00376BF4" w:rsidP="00376BF4">
            <w:pPr>
              <w:rPr>
                <w:rFonts w:ascii="Arial" w:hAnsi="Arial" w:cs="Arial"/>
                <w:bCs/>
                <w:sz w:val="22"/>
                <w:szCs w:val="22"/>
              </w:rPr>
            </w:pPr>
          </w:p>
          <w:p w14:paraId="77394B35" w14:textId="1E846BA7" w:rsidR="00E04890" w:rsidRPr="00861042" w:rsidRDefault="00E04890" w:rsidP="00D32FA9">
            <w:pPr>
              <w:rPr>
                <w:rFonts w:ascii="Arial" w:hAnsi="Arial" w:cs="Arial"/>
                <w:bCs/>
                <w:sz w:val="22"/>
                <w:szCs w:val="22"/>
              </w:rPr>
            </w:pPr>
          </w:p>
        </w:tc>
        <w:tc>
          <w:tcPr>
            <w:tcW w:w="0" w:type="auto"/>
            <w:shd w:val="clear" w:color="auto" w:fill="auto"/>
          </w:tcPr>
          <w:p w14:paraId="4BD38A00" w14:textId="7AA8B030" w:rsidR="0014355E" w:rsidRPr="00861042" w:rsidRDefault="0014355E" w:rsidP="0026478B">
            <w:pPr>
              <w:rPr>
                <w:rFonts w:ascii="Arial" w:hAnsi="Arial" w:cs="Arial"/>
                <w:sz w:val="22"/>
                <w:szCs w:val="22"/>
              </w:rPr>
            </w:pPr>
            <w:r w:rsidRPr="00861042">
              <w:rPr>
                <w:rFonts w:ascii="Arial" w:hAnsi="Arial" w:cs="Arial"/>
                <w:sz w:val="22"/>
                <w:szCs w:val="22"/>
              </w:rPr>
              <w:t xml:space="preserve">MINAP report, </w:t>
            </w:r>
            <w:r w:rsidR="00B84388" w:rsidRPr="00861042">
              <w:rPr>
                <w:rFonts w:ascii="Arial" w:hAnsi="Arial" w:cs="Arial"/>
                <w:sz w:val="22"/>
                <w:szCs w:val="22"/>
              </w:rPr>
              <w:t>Sections 2.3 and 3.8</w:t>
            </w:r>
          </w:p>
          <w:p w14:paraId="0D61ED62" w14:textId="77777777" w:rsidR="0014355E" w:rsidRPr="00861042" w:rsidRDefault="0014355E" w:rsidP="0026478B">
            <w:pPr>
              <w:rPr>
                <w:rFonts w:ascii="Arial" w:hAnsi="Arial" w:cs="Arial"/>
                <w:sz w:val="22"/>
                <w:szCs w:val="22"/>
              </w:rPr>
            </w:pPr>
          </w:p>
          <w:p w14:paraId="5BC1EE1C" w14:textId="2A12026A" w:rsidR="00376BF4" w:rsidRPr="00861042" w:rsidRDefault="00B84388" w:rsidP="0026478B">
            <w:pPr>
              <w:rPr>
                <w:rFonts w:ascii="Arial" w:hAnsi="Arial" w:cs="Arial"/>
                <w:sz w:val="22"/>
                <w:szCs w:val="22"/>
              </w:rPr>
            </w:pPr>
            <w:r w:rsidRPr="00861042">
              <w:rPr>
                <w:rFonts w:ascii="Arial" w:hAnsi="Arial" w:cs="Arial"/>
                <w:sz w:val="22"/>
                <w:szCs w:val="22"/>
              </w:rPr>
              <w:t>The improvement seen in this metric in 2020/21 when 66% of PCI was provided within 72 hours of admission has fallen back to 56%, in keeping with previous years [Figures 2.8, 2.9 and 3.12]</w:t>
            </w:r>
            <w:r w:rsidR="00153B21" w:rsidRPr="00861042">
              <w:rPr>
                <w:rFonts w:ascii="Arial" w:hAnsi="Arial" w:cs="Arial"/>
                <w:sz w:val="22"/>
                <w:szCs w:val="22"/>
              </w:rPr>
              <w:t>.</w:t>
            </w:r>
          </w:p>
          <w:p w14:paraId="3511EFBB" w14:textId="00AD3B3F" w:rsidR="00B84388" w:rsidRPr="00861042" w:rsidRDefault="00B84388" w:rsidP="0026478B">
            <w:pPr>
              <w:rPr>
                <w:rFonts w:ascii="Arial" w:hAnsi="Arial" w:cs="Arial"/>
                <w:sz w:val="22"/>
                <w:szCs w:val="22"/>
              </w:rPr>
            </w:pPr>
          </w:p>
          <w:p w14:paraId="10C68B80" w14:textId="04B4FAB3" w:rsidR="00B84388" w:rsidRPr="00861042" w:rsidRDefault="00B84388" w:rsidP="0026478B">
            <w:pPr>
              <w:rPr>
                <w:rFonts w:ascii="Arial" w:hAnsi="Arial" w:cs="Arial"/>
                <w:sz w:val="22"/>
                <w:szCs w:val="22"/>
              </w:rPr>
            </w:pPr>
            <w:r w:rsidRPr="00861042">
              <w:rPr>
                <w:rFonts w:ascii="Arial" w:hAnsi="Arial" w:cs="Arial"/>
                <w:sz w:val="22"/>
                <w:szCs w:val="22"/>
              </w:rPr>
              <w:t>There is significant variation between hospitals.</w:t>
            </w:r>
          </w:p>
          <w:p w14:paraId="2E024CAA" w14:textId="77777777" w:rsidR="00B84388" w:rsidRPr="00861042" w:rsidRDefault="00B84388" w:rsidP="0026478B">
            <w:pPr>
              <w:rPr>
                <w:rFonts w:ascii="Arial" w:hAnsi="Arial" w:cs="Arial"/>
                <w:sz w:val="22"/>
                <w:szCs w:val="22"/>
              </w:rPr>
            </w:pPr>
          </w:p>
          <w:p w14:paraId="6C073A7F" w14:textId="50690731" w:rsidR="00376BF4" w:rsidRPr="00861042" w:rsidRDefault="00B84388" w:rsidP="009660B4">
            <w:pPr>
              <w:rPr>
                <w:rFonts w:ascii="Arial" w:hAnsi="Arial" w:cs="Arial"/>
                <w:sz w:val="22"/>
                <w:szCs w:val="22"/>
              </w:rPr>
            </w:pPr>
            <w:r w:rsidRPr="00861042">
              <w:rPr>
                <w:rFonts w:ascii="Arial" w:hAnsi="Arial" w:cs="Arial"/>
                <w:sz w:val="22"/>
                <w:szCs w:val="22"/>
              </w:rPr>
              <w:t xml:space="preserve">In 7 hospitals, at least 80% of patients undergoing angiography for NSTEMI receive the angiogram within 72 hours; 47 hospitals provide angiography for at least 60% of such </w:t>
            </w:r>
            <w:r w:rsidRPr="00861042">
              <w:rPr>
                <w:rFonts w:ascii="Arial" w:hAnsi="Arial" w:cs="Arial"/>
                <w:sz w:val="22"/>
                <w:szCs w:val="22"/>
              </w:rPr>
              <w:lastRenderedPageBreak/>
              <w:t>patients within 72 hours; in 20 hospitals fewer than 40% of patients receive angiography within 72 hours</w:t>
            </w:r>
            <w:r w:rsidR="00153B21" w:rsidRPr="00861042">
              <w:rPr>
                <w:rFonts w:ascii="Arial" w:hAnsi="Arial" w:cs="Arial"/>
                <w:sz w:val="22"/>
                <w:szCs w:val="22"/>
              </w:rPr>
              <w:t xml:space="preserve"> </w:t>
            </w:r>
            <w:r w:rsidRPr="00861042">
              <w:rPr>
                <w:rFonts w:ascii="Arial" w:hAnsi="Arial" w:cs="Arial"/>
                <w:sz w:val="22"/>
                <w:szCs w:val="22"/>
              </w:rPr>
              <w:t>[Figure 3.13]</w:t>
            </w:r>
            <w:r w:rsidR="00153B21" w:rsidRPr="00861042">
              <w:rPr>
                <w:rFonts w:ascii="Arial" w:hAnsi="Arial" w:cs="Arial"/>
                <w:sz w:val="22"/>
                <w:szCs w:val="22"/>
              </w:rPr>
              <w:t>.</w:t>
            </w:r>
          </w:p>
        </w:tc>
        <w:tc>
          <w:tcPr>
            <w:tcW w:w="0" w:type="auto"/>
            <w:gridSpan w:val="2"/>
            <w:shd w:val="clear" w:color="auto" w:fill="auto"/>
          </w:tcPr>
          <w:p w14:paraId="6AEB668B" w14:textId="6704EF5B" w:rsidR="00376BF4" w:rsidRPr="00861042" w:rsidRDefault="00376BF4" w:rsidP="00376BF4">
            <w:pPr>
              <w:rPr>
                <w:rFonts w:ascii="Arial" w:hAnsi="Arial" w:cs="Arial"/>
              </w:rPr>
            </w:pPr>
            <w:r w:rsidRPr="00861042">
              <w:rPr>
                <w:rFonts w:ascii="Arial" w:hAnsi="Arial" w:cs="Arial"/>
                <w:color w:val="000000"/>
                <w:sz w:val="22"/>
                <w:szCs w:val="22"/>
              </w:rPr>
              <w:lastRenderedPageBreak/>
              <w:t>Angiography within 72 hours of admission to hospital in all cases unless angiography is deemed inappropriate</w:t>
            </w:r>
            <w:r w:rsidR="00451836" w:rsidRPr="00861042">
              <w:rPr>
                <w:rFonts w:ascii="Arial" w:hAnsi="Arial" w:cs="Arial"/>
                <w:color w:val="000000"/>
                <w:sz w:val="22"/>
                <w:szCs w:val="22"/>
              </w:rPr>
              <w:t>.</w:t>
            </w:r>
          </w:p>
          <w:p w14:paraId="6C5BF8EB" w14:textId="77777777" w:rsidR="00E04890" w:rsidRPr="00861042" w:rsidRDefault="00E04890" w:rsidP="00650629">
            <w:pPr>
              <w:rPr>
                <w:rFonts w:ascii="Arial" w:hAnsi="Arial" w:cs="Arial"/>
                <w:color w:val="000000"/>
                <w:sz w:val="22"/>
                <w:szCs w:val="22"/>
              </w:rPr>
            </w:pPr>
          </w:p>
        </w:tc>
        <w:tc>
          <w:tcPr>
            <w:tcW w:w="0" w:type="auto"/>
            <w:shd w:val="clear" w:color="auto" w:fill="auto"/>
          </w:tcPr>
          <w:p w14:paraId="7ADBC8E2" w14:textId="77777777" w:rsidR="00376BF4" w:rsidRPr="00861042" w:rsidRDefault="00376BF4" w:rsidP="00376BF4">
            <w:pPr>
              <w:rPr>
                <w:rFonts w:ascii="Arial" w:hAnsi="Arial" w:cs="Arial"/>
                <w:sz w:val="22"/>
                <w:szCs w:val="22"/>
              </w:rPr>
            </w:pPr>
            <w:r w:rsidRPr="00861042">
              <w:rPr>
                <w:rFonts w:ascii="Arial" w:hAnsi="Arial" w:cs="Arial"/>
                <w:sz w:val="22"/>
                <w:szCs w:val="22"/>
              </w:rPr>
              <w:t>NHS England Best Practice Tariff</w:t>
            </w:r>
          </w:p>
          <w:p w14:paraId="1F694709" w14:textId="3E29A199" w:rsidR="00E04890" w:rsidRPr="00861042" w:rsidRDefault="00E04890" w:rsidP="00C7466A">
            <w:pPr>
              <w:rPr>
                <w:rFonts w:ascii="Arial" w:hAnsi="Arial" w:cs="Arial"/>
                <w:sz w:val="22"/>
                <w:szCs w:val="22"/>
              </w:rPr>
            </w:pPr>
          </w:p>
        </w:tc>
        <w:tc>
          <w:tcPr>
            <w:tcW w:w="0" w:type="auto"/>
            <w:shd w:val="clear" w:color="auto" w:fill="auto"/>
          </w:tcPr>
          <w:p w14:paraId="24D6DAE5" w14:textId="6BEA0FE0" w:rsidR="00E04890" w:rsidRPr="00861042" w:rsidRDefault="00376BF4" w:rsidP="00650629">
            <w:pPr>
              <w:rPr>
                <w:rFonts w:ascii="Arial" w:hAnsi="Arial" w:cs="Arial"/>
                <w:sz w:val="22"/>
                <w:szCs w:val="22"/>
              </w:rPr>
            </w:pPr>
            <w:r w:rsidRPr="00861042">
              <w:rPr>
                <w:rFonts w:ascii="Arial" w:hAnsi="Arial" w:cs="Arial"/>
                <w:sz w:val="22"/>
                <w:szCs w:val="22"/>
              </w:rPr>
              <w:t>NICE quality standard (QS 68): ‘Adults with non-ST-segment elevation myocardial infarction (NSTEMI) or unstable angina who have an intermediate or higher risk of future adverse cardiovascular events are offered coronary angiography (with follow-on percutaneous coronary intervention [PCI] if indicated) within 72 hours of first admission to hospital.’</w:t>
            </w:r>
          </w:p>
        </w:tc>
        <w:tc>
          <w:tcPr>
            <w:tcW w:w="0" w:type="auto"/>
            <w:shd w:val="clear" w:color="auto" w:fill="auto"/>
          </w:tcPr>
          <w:p w14:paraId="619846A0" w14:textId="6845B85E" w:rsidR="00E04890" w:rsidRPr="00861042" w:rsidRDefault="000F5F5E" w:rsidP="002C5553">
            <w:pPr>
              <w:rPr>
                <w:rFonts w:ascii="Arial" w:hAnsi="Arial" w:cs="Arial"/>
                <w:sz w:val="22"/>
                <w:szCs w:val="22"/>
              </w:rPr>
            </w:pPr>
            <w:r w:rsidRPr="00861042">
              <w:rPr>
                <w:rFonts w:ascii="Arial" w:hAnsi="Arial" w:cs="Arial"/>
                <w:sz w:val="22"/>
                <w:szCs w:val="22"/>
              </w:rPr>
              <w:t xml:space="preserve">There has been a significant </w:t>
            </w:r>
            <w:r w:rsidR="008C6A5F" w:rsidRPr="00861042">
              <w:rPr>
                <w:rFonts w:ascii="Arial" w:hAnsi="Arial" w:cs="Arial"/>
                <w:sz w:val="22"/>
                <w:szCs w:val="22"/>
              </w:rPr>
              <w:t xml:space="preserve">reduction </w:t>
            </w:r>
            <w:r w:rsidRPr="00861042">
              <w:rPr>
                <w:rFonts w:ascii="Arial" w:hAnsi="Arial" w:cs="Arial"/>
                <w:sz w:val="22"/>
                <w:szCs w:val="22"/>
              </w:rPr>
              <w:t>in the proportion of patients with NSTEMI who receive angiography within 72 hours of admission</w:t>
            </w:r>
            <w:r w:rsidR="008C6A5F" w:rsidRPr="00861042">
              <w:rPr>
                <w:rFonts w:ascii="Arial" w:hAnsi="Arial" w:cs="Arial"/>
                <w:sz w:val="22"/>
                <w:szCs w:val="22"/>
              </w:rPr>
              <w:t xml:space="preserve"> compared with the previous year</w:t>
            </w:r>
            <w:r w:rsidRPr="00861042">
              <w:rPr>
                <w:rFonts w:ascii="Arial" w:hAnsi="Arial" w:cs="Arial"/>
                <w:sz w:val="22"/>
                <w:szCs w:val="22"/>
              </w:rPr>
              <w:t>.</w:t>
            </w:r>
          </w:p>
        </w:tc>
      </w:tr>
      <w:tr w:rsidR="00451836" w:rsidRPr="00861042" w14:paraId="636DA681" w14:textId="77777777" w:rsidTr="00861042">
        <w:tc>
          <w:tcPr>
            <w:tcW w:w="814" w:type="dxa"/>
            <w:shd w:val="clear" w:color="auto" w:fill="auto"/>
          </w:tcPr>
          <w:p w14:paraId="242E559A" w14:textId="00DC71BE" w:rsidR="008F2B6F" w:rsidRPr="00861042" w:rsidRDefault="008F2B6F" w:rsidP="008F2B6F">
            <w:pPr>
              <w:rPr>
                <w:rFonts w:ascii="Arial" w:hAnsi="Arial" w:cs="Arial"/>
                <w:sz w:val="22"/>
                <w:szCs w:val="22"/>
              </w:rPr>
            </w:pPr>
            <w:r w:rsidRPr="00861042">
              <w:rPr>
                <w:rFonts w:ascii="Arial" w:hAnsi="Arial" w:cs="Arial"/>
                <w:sz w:val="22"/>
                <w:szCs w:val="22"/>
              </w:rPr>
              <w:t>Rec 7</w:t>
            </w:r>
          </w:p>
        </w:tc>
        <w:tc>
          <w:tcPr>
            <w:tcW w:w="3390" w:type="dxa"/>
            <w:shd w:val="clear" w:color="auto" w:fill="auto"/>
          </w:tcPr>
          <w:p w14:paraId="06C0F701" w14:textId="77777777" w:rsidR="00B14629" w:rsidRPr="00861042" w:rsidRDefault="00B14629" w:rsidP="00B14629">
            <w:pPr>
              <w:spacing w:after="120"/>
              <w:rPr>
                <w:rFonts w:ascii="Arial" w:eastAsia="Calibri" w:hAnsi="Arial" w:cs="Arial"/>
                <w:sz w:val="22"/>
                <w:szCs w:val="22"/>
              </w:rPr>
            </w:pPr>
            <w:r w:rsidRPr="00861042">
              <w:rPr>
                <w:rFonts w:ascii="Arial" w:eastAsia="Calibri" w:hAnsi="Arial" w:cs="Arial"/>
                <w:sz w:val="22"/>
                <w:szCs w:val="22"/>
              </w:rPr>
              <w:t>Hospitals not meeting the prescribing standard for all secondary prevention medication prior to discharge of both STEMI and NSTEMI patients should assess the quality of their data and, if sub-optimal performance is confirmed, pursue quality improvement. These might include the use of discharge pro-forma or checklists, direct involvement of specialist cardiac pharmacists or ACS nurse specialists.</w:t>
            </w:r>
          </w:p>
          <w:p w14:paraId="2096BDA1" w14:textId="78C7052F" w:rsidR="008F2B6F" w:rsidRPr="00861042" w:rsidRDefault="008F2B6F" w:rsidP="008F2B6F">
            <w:pPr>
              <w:pStyle w:val="NormalWeb"/>
              <w:spacing w:before="0" w:beforeAutospacing="0" w:after="0" w:afterAutospacing="0"/>
              <w:rPr>
                <w:rFonts w:ascii="Arial" w:hAnsi="Arial" w:cs="Arial"/>
                <w:bCs/>
                <w:color w:val="000000"/>
                <w:sz w:val="22"/>
                <w:szCs w:val="22"/>
              </w:rPr>
            </w:pPr>
          </w:p>
        </w:tc>
        <w:tc>
          <w:tcPr>
            <w:tcW w:w="0" w:type="auto"/>
            <w:shd w:val="clear" w:color="auto" w:fill="auto"/>
          </w:tcPr>
          <w:p w14:paraId="24042EC9" w14:textId="34FEE6FF" w:rsidR="0014355E" w:rsidRPr="00861042" w:rsidRDefault="0014355E" w:rsidP="008F2B6F">
            <w:pPr>
              <w:rPr>
                <w:rFonts w:ascii="Arial" w:hAnsi="Arial" w:cs="Arial"/>
                <w:sz w:val="22"/>
                <w:szCs w:val="22"/>
              </w:rPr>
            </w:pPr>
            <w:r w:rsidRPr="00861042">
              <w:rPr>
                <w:rFonts w:ascii="Arial" w:hAnsi="Arial" w:cs="Arial"/>
                <w:sz w:val="22"/>
                <w:szCs w:val="22"/>
              </w:rPr>
              <w:t xml:space="preserve">MINAP report, </w:t>
            </w:r>
            <w:r w:rsidR="00AD36E5" w:rsidRPr="00861042">
              <w:rPr>
                <w:rFonts w:ascii="Arial" w:hAnsi="Arial" w:cs="Arial"/>
                <w:sz w:val="22"/>
                <w:szCs w:val="22"/>
              </w:rPr>
              <w:t>Section 3.9.</w:t>
            </w:r>
          </w:p>
          <w:p w14:paraId="4F83A7AA" w14:textId="77777777" w:rsidR="0014355E" w:rsidRPr="00861042" w:rsidRDefault="0014355E" w:rsidP="008F2B6F">
            <w:pPr>
              <w:rPr>
                <w:rFonts w:ascii="Arial" w:hAnsi="Arial" w:cs="Arial"/>
                <w:sz w:val="22"/>
                <w:szCs w:val="22"/>
              </w:rPr>
            </w:pPr>
          </w:p>
          <w:p w14:paraId="31BF6FC3" w14:textId="40FA446D" w:rsidR="008F2B6F" w:rsidRPr="00861042" w:rsidRDefault="00AD36E5" w:rsidP="008F2B6F">
            <w:pPr>
              <w:rPr>
                <w:rFonts w:ascii="Arial" w:hAnsi="Arial" w:cs="Arial"/>
                <w:sz w:val="22"/>
                <w:szCs w:val="22"/>
              </w:rPr>
            </w:pPr>
            <w:r w:rsidRPr="00861042">
              <w:rPr>
                <w:rFonts w:ascii="Arial" w:hAnsi="Arial" w:cs="Arial"/>
                <w:sz w:val="22"/>
                <w:szCs w:val="22"/>
              </w:rPr>
              <w:t>A very small decline in the proportion of patients (89%) discharged on all secondary prevention drugs for which they were eligible [Figure 3.1</w:t>
            </w:r>
            <w:r w:rsidR="00B76B13" w:rsidRPr="00861042">
              <w:rPr>
                <w:rFonts w:ascii="Arial" w:hAnsi="Arial" w:cs="Arial"/>
                <w:sz w:val="22"/>
                <w:szCs w:val="22"/>
              </w:rPr>
              <w:t>5</w:t>
            </w:r>
            <w:r w:rsidRPr="00861042">
              <w:rPr>
                <w:rFonts w:ascii="Arial" w:hAnsi="Arial" w:cs="Arial"/>
                <w:sz w:val="22"/>
                <w:szCs w:val="22"/>
              </w:rPr>
              <w:t>]</w:t>
            </w:r>
            <w:r w:rsidR="00B76B13" w:rsidRPr="00861042">
              <w:rPr>
                <w:rFonts w:ascii="Arial" w:hAnsi="Arial" w:cs="Arial"/>
                <w:sz w:val="22"/>
                <w:szCs w:val="22"/>
              </w:rPr>
              <w:t>.</w:t>
            </w:r>
          </w:p>
          <w:p w14:paraId="7462FD62" w14:textId="77777777" w:rsidR="00AD36E5" w:rsidRPr="00861042" w:rsidRDefault="00AD36E5" w:rsidP="008F2B6F">
            <w:pPr>
              <w:rPr>
                <w:rFonts w:ascii="Arial" w:hAnsi="Arial" w:cs="Arial"/>
                <w:sz w:val="22"/>
                <w:szCs w:val="22"/>
              </w:rPr>
            </w:pPr>
          </w:p>
          <w:p w14:paraId="51F5844E" w14:textId="6ACC9EE8" w:rsidR="008F2B6F" w:rsidRPr="00861042" w:rsidRDefault="00AD36E5" w:rsidP="009660B4">
            <w:pPr>
              <w:rPr>
                <w:rFonts w:ascii="Arial" w:hAnsi="Arial" w:cs="Arial"/>
                <w:sz w:val="22"/>
                <w:szCs w:val="22"/>
              </w:rPr>
            </w:pPr>
            <w:r w:rsidRPr="00861042">
              <w:rPr>
                <w:rFonts w:ascii="Arial" w:hAnsi="Arial" w:cs="Arial"/>
                <w:sz w:val="22"/>
                <w:szCs w:val="22"/>
              </w:rPr>
              <w:t>In 115 hospitals at least 90% of patients were discharged on all secondary prevention drugs for which they were eligible; in 20 hospitals fewer than 60% of patients were discharged on all secondary prevention drugs for which they were eligible [Figure 3.1</w:t>
            </w:r>
            <w:r w:rsidR="00B76B13" w:rsidRPr="00861042">
              <w:rPr>
                <w:rFonts w:ascii="Arial" w:hAnsi="Arial" w:cs="Arial"/>
                <w:sz w:val="22"/>
                <w:szCs w:val="22"/>
              </w:rPr>
              <w:t>6</w:t>
            </w:r>
            <w:r w:rsidRPr="00861042">
              <w:rPr>
                <w:rFonts w:ascii="Arial" w:hAnsi="Arial" w:cs="Arial"/>
                <w:sz w:val="22"/>
                <w:szCs w:val="22"/>
              </w:rPr>
              <w:t>]</w:t>
            </w:r>
          </w:p>
        </w:tc>
        <w:tc>
          <w:tcPr>
            <w:tcW w:w="0" w:type="auto"/>
            <w:gridSpan w:val="2"/>
            <w:shd w:val="clear" w:color="auto" w:fill="auto"/>
          </w:tcPr>
          <w:p w14:paraId="6B431FA4" w14:textId="77777777" w:rsidR="008F2B6F" w:rsidRPr="00861042" w:rsidRDefault="008F2B6F" w:rsidP="008F2B6F">
            <w:pPr>
              <w:rPr>
                <w:rFonts w:ascii="Arial" w:hAnsi="Arial" w:cs="Arial"/>
                <w:color w:val="000000"/>
                <w:sz w:val="22"/>
                <w:szCs w:val="22"/>
              </w:rPr>
            </w:pPr>
            <w:r w:rsidRPr="00861042">
              <w:rPr>
                <w:rFonts w:ascii="Arial" w:hAnsi="Arial" w:cs="Arial"/>
                <w:color w:val="000000"/>
                <w:sz w:val="22"/>
                <w:szCs w:val="22"/>
              </w:rPr>
              <w:t>There is no specified standard.  Discussion with MINAP ‘Domain Expert Group’ led to an aim that 90% of relevant patients should receive all secondary prevention drugs for which they are eligible at time of discharge from hospital following STEMI and NSTEMI.</w:t>
            </w:r>
          </w:p>
          <w:p w14:paraId="52E194BA" w14:textId="77777777" w:rsidR="008F2B6F" w:rsidRPr="00861042" w:rsidRDefault="008F2B6F" w:rsidP="008F2B6F">
            <w:pPr>
              <w:rPr>
                <w:rFonts w:ascii="Arial" w:hAnsi="Arial" w:cs="Arial"/>
                <w:color w:val="000000"/>
                <w:sz w:val="22"/>
                <w:szCs w:val="22"/>
              </w:rPr>
            </w:pPr>
          </w:p>
        </w:tc>
        <w:tc>
          <w:tcPr>
            <w:tcW w:w="0" w:type="auto"/>
            <w:shd w:val="clear" w:color="auto" w:fill="auto"/>
          </w:tcPr>
          <w:p w14:paraId="33138F18" w14:textId="061EE772" w:rsidR="008F2B6F" w:rsidRPr="00861042" w:rsidRDefault="008F2B6F" w:rsidP="008F2B6F">
            <w:pPr>
              <w:rPr>
                <w:rFonts w:ascii="Arial" w:hAnsi="Arial" w:cs="Arial"/>
                <w:sz w:val="22"/>
                <w:szCs w:val="22"/>
              </w:rPr>
            </w:pPr>
          </w:p>
        </w:tc>
        <w:tc>
          <w:tcPr>
            <w:tcW w:w="0" w:type="auto"/>
            <w:shd w:val="clear" w:color="auto" w:fill="auto"/>
          </w:tcPr>
          <w:p w14:paraId="1065584C" w14:textId="1B4ED94B" w:rsidR="008F2B6F" w:rsidRPr="00861042" w:rsidRDefault="008F2B6F" w:rsidP="008F2B6F">
            <w:pPr>
              <w:rPr>
                <w:rFonts w:ascii="Arial" w:hAnsi="Arial" w:cs="Arial"/>
                <w:color w:val="000000"/>
                <w:sz w:val="22"/>
                <w:szCs w:val="22"/>
              </w:rPr>
            </w:pPr>
            <w:r w:rsidRPr="00861042">
              <w:rPr>
                <w:rFonts w:ascii="Arial" w:hAnsi="Arial" w:cs="Arial"/>
                <w:color w:val="000000"/>
                <w:sz w:val="22"/>
                <w:szCs w:val="22"/>
              </w:rPr>
              <w:t>NICE Guideline (CG 172): Offer all people who have had an acute MI treatment with the following drugs: ACE (angiotensin converting enzyme) inhibitor; dual antiplatelet therapy (aspirin plus a second antiplatelet agent); beta-blocker; statin.</w:t>
            </w:r>
          </w:p>
        </w:tc>
        <w:tc>
          <w:tcPr>
            <w:tcW w:w="0" w:type="auto"/>
            <w:shd w:val="clear" w:color="auto" w:fill="auto"/>
          </w:tcPr>
          <w:p w14:paraId="71DAACBE" w14:textId="4CC99685" w:rsidR="008F2B6F" w:rsidRPr="00861042" w:rsidRDefault="00AD36E5" w:rsidP="008F2B6F">
            <w:pPr>
              <w:rPr>
                <w:rFonts w:ascii="Arial" w:hAnsi="Arial" w:cs="Arial"/>
              </w:rPr>
            </w:pPr>
            <w:r w:rsidRPr="00861042">
              <w:rPr>
                <w:rFonts w:ascii="Arial" w:hAnsi="Arial" w:cs="Arial"/>
                <w:color w:val="000000"/>
                <w:sz w:val="22"/>
                <w:szCs w:val="22"/>
              </w:rPr>
              <w:t xml:space="preserve">Despite a slight reduction there remains a </w:t>
            </w:r>
            <w:r w:rsidR="008F2B6F" w:rsidRPr="00861042">
              <w:rPr>
                <w:rFonts w:ascii="Arial" w:hAnsi="Arial" w:cs="Arial"/>
                <w:color w:val="000000"/>
                <w:sz w:val="22"/>
                <w:szCs w:val="22"/>
              </w:rPr>
              <w:t>high performance</w:t>
            </w:r>
            <w:r w:rsidRPr="00861042">
              <w:rPr>
                <w:rFonts w:ascii="Arial" w:hAnsi="Arial" w:cs="Arial"/>
                <w:color w:val="000000"/>
                <w:sz w:val="22"/>
                <w:szCs w:val="22"/>
              </w:rPr>
              <w:t>.</w:t>
            </w:r>
          </w:p>
          <w:p w14:paraId="1AF92784" w14:textId="77777777" w:rsidR="008F2B6F" w:rsidRPr="00861042" w:rsidRDefault="008F2B6F" w:rsidP="008F2B6F">
            <w:pPr>
              <w:rPr>
                <w:rFonts w:ascii="Arial" w:hAnsi="Arial" w:cs="Arial"/>
                <w:sz w:val="22"/>
                <w:szCs w:val="22"/>
              </w:rPr>
            </w:pPr>
          </w:p>
        </w:tc>
      </w:tr>
      <w:tr w:rsidR="00451836" w:rsidRPr="00861042" w14:paraId="3FF61A6D" w14:textId="77777777" w:rsidTr="00861042">
        <w:tc>
          <w:tcPr>
            <w:tcW w:w="814" w:type="dxa"/>
            <w:shd w:val="clear" w:color="auto" w:fill="auto"/>
          </w:tcPr>
          <w:p w14:paraId="668D27AA" w14:textId="08C41784" w:rsidR="008F2B6F" w:rsidRPr="00861042" w:rsidRDefault="008F2B6F" w:rsidP="008F2B6F">
            <w:pPr>
              <w:rPr>
                <w:rFonts w:ascii="Arial" w:hAnsi="Arial" w:cs="Arial"/>
                <w:sz w:val="22"/>
                <w:szCs w:val="22"/>
              </w:rPr>
            </w:pPr>
            <w:r w:rsidRPr="00861042">
              <w:rPr>
                <w:rFonts w:ascii="Arial" w:hAnsi="Arial" w:cs="Arial"/>
                <w:sz w:val="22"/>
                <w:szCs w:val="22"/>
              </w:rPr>
              <w:lastRenderedPageBreak/>
              <w:t>Rec 8</w:t>
            </w:r>
          </w:p>
        </w:tc>
        <w:tc>
          <w:tcPr>
            <w:tcW w:w="3390" w:type="dxa"/>
            <w:shd w:val="clear" w:color="auto" w:fill="auto"/>
          </w:tcPr>
          <w:p w14:paraId="2DA6EFFE" w14:textId="77777777" w:rsidR="000C1D25" w:rsidRPr="00861042" w:rsidRDefault="000C1D25" w:rsidP="000C1D25">
            <w:pPr>
              <w:spacing w:after="120"/>
              <w:rPr>
                <w:rFonts w:ascii="Arial" w:eastAsia="Calibri" w:hAnsi="Arial" w:cs="Arial"/>
                <w:sz w:val="22"/>
                <w:szCs w:val="22"/>
              </w:rPr>
            </w:pPr>
            <w:r w:rsidRPr="00861042">
              <w:rPr>
                <w:rFonts w:ascii="Arial" w:eastAsia="Calibri" w:hAnsi="Arial" w:cs="Arial"/>
                <w:sz w:val="22"/>
                <w:szCs w:val="22"/>
              </w:rPr>
              <w:t>Hospitals with lower rates of prescribing aldosterone antagonists for patients with impaired LV function identified by echocardiography (or some other reliable assessment method) should act to ensure appropriate treatment. This could involve discharge pro-forma/checklists and the direct involvement of specialist cardiac pharmacists, ACS nurses and sonographers.</w:t>
            </w:r>
          </w:p>
          <w:p w14:paraId="50379AD8" w14:textId="580F9BA3" w:rsidR="008F2B6F" w:rsidRPr="00861042" w:rsidRDefault="008F2B6F" w:rsidP="000C1D25">
            <w:pPr>
              <w:pStyle w:val="NormalWeb"/>
              <w:spacing w:before="0" w:after="0"/>
              <w:rPr>
                <w:rFonts w:ascii="Arial" w:hAnsi="Arial" w:cs="Arial"/>
                <w:bCs/>
                <w:color w:val="000000"/>
                <w:sz w:val="22"/>
                <w:szCs w:val="22"/>
              </w:rPr>
            </w:pPr>
          </w:p>
        </w:tc>
        <w:tc>
          <w:tcPr>
            <w:tcW w:w="0" w:type="auto"/>
            <w:shd w:val="clear" w:color="auto" w:fill="auto"/>
          </w:tcPr>
          <w:p w14:paraId="3FAB5CB1" w14:textId="70F650FE" w:rsidR="00A06BA9" w:rsidRPr="00861042" w:rsidRDefault="00EB2BF8" w:rsidP="008F2B6F">
            <w:pPr>
              <w:rPr>
                <w:rFonts w:ascii="Arial" w:hAnsi="Arial" w:cs="Arial"/>
                <w:color w:val="000000"/>
                <w:sz w:val="22"/>
                <w:szCs w:val="22"/>
              </w:rPr>
            </w:pPr>
            <w:r w:rsidRPr="00861042">
              <w:rPr>
                <w:rFonts w:ascii="Arial" w:hAnsi="Arial" w:cs="Arial"/>
                <w:color w:val="000000"/>
                <w:sz w:val="22"/>
                <w:szCs w:val="22"/>
              </w:rPr>
              <w:t xml:space="preserve">MINAP report, </w:t>
            </w:r>
            <w:r w:rsidR="00B31365" w:rsidRPr="00861042">
              <w:rPr>
                <w:rFonts w:ascii="Arial" w:hAnsi="Arial" w:cs="Arial"/>
                <w:color w:val="000000"/>
                <w:sz w:val="22"/>
                <w:szCs w:val="22"/>
              </w:rPr>
              <w:t>Section 3.10.</w:t>
            </w:r>
          </w:p>
          <w:p w14:paraId="71C758E6" w14:textId="77777777" w:rsidR="00A06BA9" w:rsidRPr="00861042" w:rsidRDefault="00A06BA9" w:rsidP="008F2B6F">
            <w:pPr>
              <w:rPr>
                <w:rFonts w:ascii="Arial" w:hAnsi="Arial" w:cs="Arial"/>
                <w:color w:val="000000"/>
                <w:sz w:val="22"/>
                <w:szCs w:val="22"/>
              </w:rPr>
            </w:pPr>
          </w:p>
          <w:p w14:paraId="6467FAAC" w14:textId="4A594CB4" w:rsidR="008F2B6F" w:rsidRPr="00861042" w:rsidRDefault="00B31365" w:rsidP="008F2B6F">
            <w:pPr>
              <w:rPr>
                <w:rFonts w:ascii="Arial" w:hAnsi="Arial" w:cs="Arial"/>
                <w:sz w:val="22"/>
                <w:szCs w:val="22"/>
              </w:rPr>
            </w:pPr>
            <w:r w:rsidRPr="00861042">
              <w:rPr>
                <w:rFonts w:ascii="Arial" w:hAnsi="Arial" w:cs="Arial"/>
                <w:sz w:val="22"/>
                <w:szCs w:val="22"/>
              </w:rPr>
              <w:t>Progressive increase, to 76%, in the proportion of eligible patients receiving this class of drug – a 50% increase over 9 years</w:t>
            </w:r>
            <w:r w:rsidR="00B568B9" w:rsidRPr="00861042">
              <w:rPr>
                <w:rFonts w:ascii="Arial" w:hAnsi="Arial" w:cs="Arial"/>
                <w:sz w:val="22"/>
                <w:szCs w:val="22"/>
              </w:rPr>
              <w:t xml:space="preserve"> </w:t>
            </w:r>
            <w:r w:rsidRPr="00861042">
              <w:rPr>
                <w:rFonts w:ascii="Arial" w:hAnsi="Arial" w:cs="Arial"/>
                <w:sz w:val="22"/>
                <w:szCs w:val="22"/>
              </w:rPr>
              <w:t>[Figure 3.1</w:t>
            </w:r>
            <w:r w:rsidR="00B568B9" w:rsidRPr="00861042">
              <w:rPr>
                <w:rFonts w:ascii="Arial" w:hAnsi="Arial" w:cs="Arial"/>
                <w:sz w:val="22"/>
                <w:szCs w:val="22"/>
              </w:rPr>
              <w:t>7</w:t>
            </w:r>
            <w:r w:rsidRPr="00861042">
              <w:rPr>
                <w:rFonts w:ascii="Arial" w:hAnsi="Arial" w:cs="Arial"/>
                <w:sz w:val="22"/>
                <w:szCs w:val="22"/>
              </w:rPr>
              <w:t>]</w:t>
            </w:r>
            <w:r w:rsidR="00B568B9" w:rsidRPr="00861042">
              <w:rPr>
                <w:rFonts w:ascii="Arial" w:hAnsi="Arial" w:cs="Arial"/>
                <w:sz w:val="22"/>
                <w:szCs w:val="22"/>
              </w:rPr>
              <w:t>.</w:t>
            </w:r>
          </w:p>
          <w:p w14:paraId="274CD79F" w14:textId="77777777" w:rsidR="00B568B9" w:rsidRPr="00861042" w:rsidRDefault="00B568B9" w:rsidP="008F2B6F">
            <w:pPr>
              <w:rPr>
                <w:rFonts w:ascii="Arial" w:hAnsi="Arial" w:cs="Arial"/>
                <w:color w:val="000000"/>
                <w:sz w:val="22"/>
                <w:szCs w:val="22"/>
              </w:rPr>
            </w:pPr>
          </w:p>
          <w:p w14:paraId="003C3481" w14:textId="620128A6" w:rsidR="008F2B6F" w:rsidRPr="00861042" w:rsidRDefault="00B31365" w:rsidP="009660B4">
            <w:pPr>
              <w:rPr>
                <w:rFonts w:ascii="Arial" w:hAnsi="Arial" w:cs="Arial"/>
                <w:color w:val="000000"/>
                <w:sz w:val="22"/>
                <w:szCs w:val="22"/>
              </w:rPr>
            </w:pPr>
            <w:r w:rsidRPr="00861042">
              <w:rPr>
                <w:rFonts w:ascii="Arial" w:hAnsi="Arial" w:cs="Arial"/>
                <w:sz w:val="22"/>
                <w:szCs w:val="22"/>
              </w:rPr>
              <w:t>In 21 hospitals at least 90% of patients with STEMI and poor ventricular function are discharged on an aldosterone antagonist; in 8 hospitals fewer than 70% of such patients are discharged on an aldosterone antagonist [Figure 3.1</w:t>
            </w:r>
            <w:r w:rsidR="00B568B9" w:rsidRPr="00861042">
              <w:rPr>
                <w:rFonts w:ascii="Arial" w:hAnsi="Arial" w:cs="Arial"/>
                <w:sz w:val="22"/>
                <w:szCs w:val="22"/>
              </w:rPr>
              <w:t>8</w:t>
            </w:r>
            <w:r w:rsidRPr="00861042">
              <w:rPr>
                <w:rFonts w:ascii="Arial" w:hAnsi="Arial" w:cs="Arial"/>
                <w:sz w:val="22"/>
                <w:szCs w:val="22"/>
              </w:rPr>
              <w:t>]</w:t>
            </w:r>
            <w:r w:rsidR="00B568B9" w:rsidRPr="00861042">
              <w:rPr>
                <w:rFonts w:ascii="Arial" w:hAnsi="Arial" w:cs="Arial"/>
                <w:sz w:val="22"/>
                <w:szCs w:val="22"/>
              </w:rPr>
              <w:t>.</w:t>
            </w:r>
          </w:p>
        </w:tc>
        <w:tc>
          <w:tcPr>
            <w:tcW w:w="0" w:type="auto"/>
            <w:gridSpan w:val="2"/>
            <w:shd w:val="clear" w:color="auto" w:fill="auto"/>
          </w:tcPr>
          <w:p w14:paraId="11558ADC" w14:textId="77777777" w:rsidR="008F2B6F" w:rsidRPr="00861042" w:rsidRDefault="008F2B6F" w:rsidP="008F2B6F">
            <w:pPr>
              <w:rPr>
                <w:rFonts w:ascii="Arial" w:hAnsi="Arial" w:cs="Arial"/>
                <w:sz w:val="22"/>
                <w:szCs w:val="22"/>
              </w:rPr>
            </w:pPr>
            <w:r w:rsidRPr="00861042">
              <w:rPr>
                <w:rFonts w:ascii="Arial" w:hAnsi="Arial" w:cs="Arial"/>
                <w:sz w:val="22"/>
                <w:szCs w:val="22"/>
              </w:rPr>
              <w:t>No specified national standard.</w:t>
            </w:r>
          </w:p>
          <w:p w14:paraId="7E67EDF6" w14:textId="77777777" w:rsidR="008F2B6F" w:rsidRPr="00861042" w:rsidRDefault="008F2B6F" w:rsidP="008F2B6F">
            <w:pPr>
              <w:rPr>
                <w:rFonts w:ascii="Arial" w:hAnsi="Arial" w:cs="Arial"/>
                <w:sz w:val="22"/>
                <w:szCs w:val="22"/>
              </w:rPr>
            </w:pPr>
          </w:p>
          <w:p w14:paraId="20B6D8C9" w14:textId="435F6614" w:rsidR="008F2B6F" w:rsidRPr="00861042" w:rsidRDefault="008F2B6F" w:rsidP="008F2B6F">
            <w:pPr>
              <w:rPr>
                <w:rFonts w:ascii="Arial" w:hAnsi="Arial" w:cs="Arial"/>
                <w:sz w:val="22"/>
                <w:szCs w:val="22"/>
              </w:rPr>
            </w:pPr>
            <w:r w:rsidRPr="00861042">
              <w:rPr>
                <w:rFonts w:ascii="Arial" w:hAnsi="Arial" w:cs="Arial"/>
                <w:sz w:val="22"/>
                <w:szCs w:val="22"/>
              </w:rPr>
              <w:t xml:space="preserve"> </w:t>
            </w:r>
            <w:r w:rsidRPr="00861042">
              <w:rPr>
                <w:rFonts w:ascii="Arial" w:hAnsi="Arial" w:cs="Arial"/>
                <w:color w:val="000000"/>
                <w:sz w:val="22"/>
                <w:szCs w:val="22"/>
              </w:rPr>
              <w:t>Discussion with MINAP ‘Domain Expert Group’ led to an aim that 90% of eligible patients should receive MRA at time of discharge from hospital following STEMI</w:t>
            </w:r>
            <w:r w:rsidR="00451836" w:rsidRPr="00861042">
              <w:rPr>
                <w:rFonts w:ascii="Arial" w:hAnsi="Arial" w:cs="Arial"/>
                <w:color w:val="000000"/>
                <w:sz w:val="22"/>
                <w:szCs w:val="22"/>
              </w:rPr>
              <w:t>.</w:t>
            </w:r>
          </w:p>
        </w:tc>
        <w:tc>
          <w:tcPr>
            <w:tcW w:w="0" w:type="auto"/>
            <w:shd w:val="clear" w:color="auto" w:fill="auto"/>
          </w:tcPr>
          <w:p w14:paraId="21A75909" w14:textId="688882D2" w:rsidR="008F2B6F" w:rsidRPr="00861042" w:rsidRDefault="008F2B6F" w:rsidP="008F2B6F">
            <w:pPr>
              <w:rPr>
                <w:rFonts w:ascii="Arial" w:hAnsi="Arial" w:cs="Arial"/>
                <w:sz w:val="22"/>
                <w:szCs w:val="22"/>
              </w:rPr>
            </w:pPr>
          </w:p>
        </w:tc>
        <w:tc>
          <w:tcPr>
            <w:tcW w:w="0" w:type="auto"/>
            <w:shd w:val="clear" w:color="auto" w:fill="auto"/>
          </w:tcPr>
          <w:p w14:paraId="2C0F711B" w14:textId="6A026EFA" w:rsidR="008F2B6F" w:rsidRPr="00861042" w:rsidRDefault="008F2B6F" w:rsidP="008F2B6F">
            <w:pPr>
              <w:rPr>
                <w:rFonts w:ascii="Arial" w:hAnsi="Arial" w:cs="Arial"/>
                <w:color w:val="000000"/>
                <w:sz w:val="22"/>
                <w:szCs w:val="22"/>
              </w:rPr>
            </w:pPr>
            <w:r w:rsidRPr="00861042">
              <w:rPr>
                <w:rFonts w:ascii="Arial" w:hAnsi="Arial" w:cs="Arial"/>
                <w:color w:val="000000"/>
                <w:sz w:val="22"/>
                <w:szCs w:val="22"/>
              </w:rPr>
              <w:t>European Society of Cardiology Guideline: ‘MRAs are recommended in patients with a LVEF (Left Ventricular Ejection Fraction) ≤40% and heart failure or diabetes, who are already receiving an ACE inhibitor and a beta-blocker, provided there is no renal failure or hyperkalaemia.</w:t>
            </w:r>
          </w:p>
        </w:tc>
        <w:tc>
          <w:tcPr>
            <w:tcW w:w="0" w:type="auto"/>
            <w:shd w:val="clear" w:color="auto" w:fill="auto"/>
          </w:tcPr>
          <w:p w14:paraId="50215A85" w14:textId="4B88E36D" w:rsidR="008F2B6F" w:rsidRPr="00861042" w:rsidRDefault="008F2B6F" w:rsidP="008F2B6F">
            <w:pPr>
              <w:rPr>
                <w:rFonts w:ascii="Arial" w:hAnsi="Arial" w:cs="Arial"/>
                <w:color w:val="000000"/>
                <w:sz w:val="22"/>
                <w:szCs w:val="22"/>
              </w:rPr>
            </w:pPr>
            <w:r w:rsidRPr="00861042">
              <w:rPr>
                <w:rFonts w:ascii="Arial" w:hAnsi="Arial" w:cs="Arial"/>
                <w:color w:val="000000"/>
                <w:sz w:val="22"/>
                <w:szCs w:val="22"/>
              </w:rPr>
              <w:t xml:space="preserve">Improvement in proportion of eligible patients receiving MRA have over last </w:t>
            </w:r>
            <w:r w:rsidR="00B31365" w:rsidRPr="00861042">
              <w:rPr>
                <w:rFonts w:ascii="Arial" w:hAnsi="Arial" w:cs="Arial"/>
                <w:color w:val="000000"/>
                <w:sz w:val="22"/>
                <w:szCs w:val="22"/>
              </w:rPr>
              <w:t>nine</w:t>
            </w:r>
            <w:r w:rsidRPr="00861042">
              <w:rPr>
                <w:rFonts w:ascii="Arial" w:hAnsi="Arial" w:cs="Arial"/>
                <w:color w:val="000000"/>
                <w:sz w:val="22"/>
                <w:szCs w:val="22"/>
              </w:rPr>
              <w:t xml:space="preserve"> years</w:t>
            </w:r>
            <w:r w:rsidR="00451836" w:rsidRPr="00861042">
              <w:rPr>
                <w:rFonts w:ascii="Arial" w:hAnsi="Arial" w:cs="Arial"/>
                <w:color w:val="000000"/>
                <w:sz w:val="22"/>
                <w:szCs w:val="22"/>
              </w:rPr>
              <w:t>.</w:t>
            </w:r>
          </w:p>
          <w:p w14:paraId="6772F38B" w14:textId="77777777" w:rsidR="008F2B6F" w:rsidRPr="00861042" w:rsidRDefault="008F2B6F" w:rsidP="008F2B6F">
            <w:pPr>
              <w:rPr>
                <w:rFonts w:ascii="Arial" w:hAnsi="Arial" w:cs="Arial"/>
                <w:color w:val="000000"/>
                <w:sz w:val="22"/>
                <w:szCs w:val="22"/>
              </w:rPr>
            </w:pPr>
          </w:p>
        </w:tc>
      </w:tr>
      <w:tr w:rsidR="00451836" w:rsidRPr="00861042" w14:paraId="626B4921" w14:textId="77777777" w:rsidTr="00861042">
        <w:tc>
          <w:tcPr>
            <w:tcW w:w="814" w:type="dxa"/>
            <w:shd w:val="clear" w:color="auto" w:fill="auto"/>
          </w:tcPr>
          <w:p w14:paraId="4EC56EE5" w14:textId="2C0FB60A" w:rsidR="008F2B6F" w:rsidRPr="00861042" w:rsidRDefault="008F2B6F" w:rsidP="008F2B6F">
            <w:pPr>
              <w:rPr>
                <w:rFonts w:ascii="Arial" w:hAnsi="Arial" w:cs="Arial"/>
                <w:sz w:val="22"/>
                <w:szCs w:val="22"/>
              </w:rPr>
            </w:pPr>
            <w:r w:rsidRPr="00861042">
              <w:rPr>
                <w:rFonts w:ascii="Arial" w:hAnsi="Arial" w:cs="Arial"/>
                <w:sz w:val="22"/>
                <w:szCs w:val="22"/>
              </w:rPr>
              <w:t>Rec 9</w:t>
            </w:r>
          </w:p>
        </w:tc>
        <w:tc>
          <w:tcPr>
            <w:tcW w:w="3390" w:type="dxa"/>
            <w:shd w:val="clear" w:color="auto" w:fill="auto"/>
          </w:tcPr>
          <w:p w14:paraId="54B992CA" w14:textId="77777777" w:rsidR="00094FB5" w:rsidRPr="00861042" w:rsidRDefault="00094FB5" w:rsidP="00094FB5">
            <w:pPr>
              <w:spacing w:after="120"/>
              <w:rPr>
                <w:rFonts w:ascii="Arial" w:eastAsia="Calibri" w:hAnsi="Arial" w:cs="Arial"/>
                <w:sz w:val="22"/>
                <w:szCs w:val="22"/>
              </w:rPr>
            </w:pPr>
            <w:bookmarkStart w:id="1" w:name="_Hlk131335262"/>
            <w:r w:rsidRPr="00861042">
              <w:rPr>
                <w:rFonts w:ascii="Arial" w:eastAsia="Calibri" w:hAnsi="Arial" w:cs="Arial"/>
                <w:sz w:val="22"/>
                <w:szCs w:val="22"/>
              </w:rPr>
              <w:t>Hospitals not meeting the standards for referral of patients to cardiac rehabilitation following either STEMI or NSTEMI heart attacks should ensure early identification of patients who might benefit (</w:t>
            </w:r>
            <w:proofErr w:type="spellStart"/>
            <w:proofErr w:type="gramStart"/>
            <w:r w:rsidRPr="00861042">
              <w:rPr>
                <w:rFonts w:ascii="Arial" w:eastAsia="Calibri" w:hAnsi="Arial" w:cs="Arial"/>
                <w:sz w:val="22"/>
                <w:szCs w:val="22"/>
              </w:rPr>
              <w:t>eg</w:t>
            </w:r>
            <w:proofErr w:type="spellEnd"/>
            <w:proofErr w:type="gramEnd"/>
            <w:r w:rsidRPr="00861042">
              <w:rPr>
                <w:rFonts w:ascii="Arial" w:eastAsia="Calibri" w:hAnsi="Arial" w:cs="Arial"/>
                <w:sz w:val="22"/>
                <w:szCs w:val="22"/>
              </w:rPr>
              <w:t xml:space="preserve"> through routine distribution of </w:t>
            </w:r>
            <w:r w:rsidRPr="00861042">
              <w:rPr>
                <w:rFonts w:ascii="Arial" w:eastAsia="Calibri" w:hAnsi="Arial" w:cs="Arial"/>
                <w:sz w:val="22"/>
                <w:szCs w:val="22"/>
              </w:rPr>
              <w:lastRenderedPageBreak/>
              <w:t>cardiac rehabilitation information/invitation in discharge checklists and in leaflets given to all patients).</w:t>
            </w:r>
          </w:p>
          <w:p w14:paraId="3E3BBD2B" w14:textId="6AF50479" w:rsidR="00094FB5" w:rsidRPr="00861042" w:rsidRDefault="00094FB5" w:rsidP="00094FB5">
            <w:pPr>
              <w:spacing w:before="120" w:after="120"/>
              <w:rPr>
                <w:rFonts w:ascii="Arial" w:eastAsia="Calibri" w:hAnsi="Arial" w:cs="Arial"/>
                <w:sz w:val="22"/>
                <w:szCs w:val="22"/>
              </w:rPr>
            </w:pPr>
            <w:r w:rsidRPr="00861042">
              <w:rPr>
                <w:rFonts w:ascii="Arial" w:eastAsia="Calibri" w:hAnsi="Arial" w:cs="Arial"/>
                <w:sz w:val="22"/>
                <w:szCs w:val="22"/>
              </w:rPr>
              <w:t>All hospitals should ensure equitable access to cardiac rehabilitation. Rehabilitation staff who were redeployed to ward-based duties during the pandemic should return to their original practices.</w:t>
            </w:r>
          </w:p>
          <w:bookmarkEnd w:id="1"/>
          <w:p w14:paraId="073C247B" w14:textId="3E3C9EA7" w:rsidR="008F2B6F" w:rsidRPr="00861042" w:rsidRDefault="008F2B6F" w:rsidP="00094FB5">
            <w:pPr>
              <w:pStyle w:val="NormalWeb"/>
              <w:spacing w:before="0" w:after="0"/>
              <w:rPr>
                <w:rFonts w:ascii="Arial" w:hAnsi="Arial" w:cs="Arial"/>
                <w:color w:val="000000"/>
                <w:sz w:val="22"/>
                <w:szCs w:val="22"/>
              </w:rPr>
            </w:pPr>
          </w:p>
        </w:tc>
        <w:tc>
          <w:tcPr>
            <w:tcW w:w="0" w:type="auto"/>
            <w:shd w:val="clear" w:color="auto" w:fill="auto"/>
          </w:tcPr>
          <w:p w14:paraId="567E9FD6" w14:textId="5938176A" w:rsidR="0014355E" w:rsidRPr="00861042" w:rsidRDefault="0014355E" w:rsidP="008F2B6F">
            <w:pPr>
              <w:rPr>
                <w:rFonts w:ascii="Arial" w:hAnsi="Arial" w:cs="Arial"/>
                <w:color w:val="000000"/>
                <w:sz w:val="22"/>
                <w:szCs w:val="22"/>
              </w:rPr>
            </w:pPr>
            <w:r w:rsidRPr="00861042">
              <w:rPr>
                <w:rFonts w:ascii="Arial" w:hAnsi="Arial" w:cs="Arial"/>
                <w:color w:val="000000"/>
                <w:sz w:val="22"/>
                <w:szCs w:val="22"/>
              </w:rPr>
              <w:lastRenderedPageBreak/>
              <w:t xml:space="preserve">MINAP report, </w:t>
            </w:r>
            <w:r w:rsidR="00C15060" w:rsidRPr="00861042">
              <w:rPr>
                <w:rFonts w:ascii="Arial" w:hAnsi="Arial" w:cs="Arial"/>
                <w:color w:val="000000"/>
                <w:sz w:val="22"/>
                <w:szCs w:val="22"/>
              </w:rPr>
              <w:t>Sectio</w:t>
            </w:r>
            <w:r w:rsidR="005516BB" w:rsidRPr="00861042">
              <w:rPr>
                <w:rFonts w:ascii="Arial" w:hAnsi="Arial" w:cs="Arial"/>
                <w:color w:val="000000"/>
                <w:sz w:val="22"/>
                <w:szCs w:val="22"/>
              </w:rPr>
              <w:t xml:space="preserve">ns 2.6 and </w:t>
            </w:r>
            <w:r w:rsidR="00C15060" w:rsidRPr="00861042">
              <w:rPr>
                <w:rFonts w:ascii="Arial" w:hAnsi="Arial" w:cs="Arial"/>
                <w:color w:val="000000"/>
                <w:sz w:val="22"/>
                <w:szCs w:val="22"/>
              </w:rPr>
              <w:t>3.11</w:t>
            </w:r>
            <w:r w:rsidR="005516BB" w:rsidRPr="00861042">
              <w:rPr>
                <w:rFonts w:ascii="Arial" w:hAnsi="Arial" w:cs="Arial"/>
                <w:color w:val="000000"/>
                <w:sz w:val="22"/>
                <w:szCs w:val="22"/>
              </w:rPr>
              <w:t>.</w:t>
            </w:r>
          </w:p>
          <w:p w14:paraId="2BC5548F" w14:textId="77777777" w:rsidR="0014355E" w:rsidRPr="00861042" w:rsidRDefault="0014355E" w:rsidP="008F2B6F">
            <w:pPr>
              <w:rPr>
                <w:rFonts w:ascii="Arial" w:hAnsi="Arial" w:cs="Arial"/>
                <w:color w:val="000000"/>
                <w:sz w:val="22"/>
                <w:szCs w:val="22"/>
              </w:rPr>
            </w:pPr>
          </w:p>
          <w:p w14:paraId="0EBE145F" w14:textId="520F85EE" w:rsidR="008F2B6F" w:rsidRPr="00861042" w:rsidRDefault="00C15060" w:rsidP="008F2B6F">
            <w:pPr>
              <w:rPr>
                <w:rFonts w:ascii="Arial" w:hAnsi="Arial" w:cs="Arial"/>
                <w:sz w:val="22"/>
                <w:szCs w:val="22"/>
              </w:rPr>
            </w:pPr>
            <w:r w:rsidRPr="00861042">
              <w:rPr>
                <w:rFonts w:ascii="Arial" w:hAnsi="Arial" w:cs="Arial"/>
                <w:sz w:val="22"/>
                <w:szCs w:val="22"/>
              </w:rPr>
              <w:t xml:space="preserve">A continuing improvement from a nadir in performance 2017/18 to reach the aspiration that more </w:t>
            </w:r>
            <w:r w:rsidRPr="00861042">
              <w:rPr>
                <w:rFonts w:ascii="Arial" w:hAnsi="Arial" w:cs="Arial"/>
                <w:sz w:val="22"/>
                <w:szCs w:val="22"/>
              </w:rPr>
              <w:lastRenderedPageBreak/>
              <w:t>than 85% of eligible patients are referred for cardiac rehabilitation</w:t>
            </w:r>
            <w:r w:rsidR="00451836" w:rsidRPr="00861042">
              <w:rPr>
                <w:rFonts w:ascii="Arial" w:hAnsi="Arial" w:cs="Arial"/>
                <w:sz w:val="22"/>
                <w:szCs w:val="22"/>
              </w:rPr>
              <w:t xml:space="preserve"> </w:t>
            </w:r>
            <w:r w:rsidRPr="00861042">
              <w:rPr>
                <w:rFonts w:ascii="Arial" w:hAnsi="Arial" w:cs="Arial"/>
                <w:sz w:val="22"/>
                <w:szCs w:val="22"/>
              </w:rPr>
              <w:t xml:space="preserve">[Figure </w:t>
            </w:r>
            <w:r w:rsidR="00451836" w:rsidRPr="00861042">
              <w:rPr>
                <w:rFonts w:ascii="Arial" w:hAnsi="Arial" w:cs="Arial"/>
                <w:sz w:val="22"/>
                <w:szCs w:val="22"/>
              </w:rPr>
              <w:t>2.12</w:t>
            </w:r>
            <w:r w:rsidRPr="00861042">
              <w:rPr>
                <w:rFonts w:ascii="Arial" w:hAnsi="Arial" w:cs="Arial"/>
                <w:sz w:val="22"/>
                <w:szCs w:val="22"/>
              </w:rPr>
              <w:t>]</w:t>
            </w:r>
            <w:r w:rsidR="00451836" w:rsidRPr="00861042">
              <w:rPr>
                <w:rFonts w:ascii="Arial" w:hAnsi="Arial" w:cs="Arial"/>
                <w:sz w:val="22"/>
                <w:szCs w:val="22"/>
              </w:rPr>
              <w:t>.</w:t>
            </w:r>
          </w:p>
          <w:p w14:paraId="0A920C6A" w14:textId="77777777" w:rsidR="00C15060" w:rsidRPr="00861042" w:rsidRDefault="00C15060" w:rsidP="008F2B6F">
            <w:pPr>
              <w:rPr>
                <w:rFonts w:ascii="Arial" w:hAnsi="Arial" w:cs="Arial"/>
                <w:color w:val="000000"/>
                <w:sz w:val="22"/>
                <w:szCs w:val="22"/>
              </w:rPr>
            </w:pPr>
          </w:p>
          <w:p w14:paraId="29503BA1" w14:textId="4F88276F" w:rsidR="008F2B6F" w:rsidRPr="00861042" w:rsidRDefault="00C15060" w:rsidP="001034D0">
            <w:pPr>
              <w:rPr>
                <w:rFonts w:ascii="Arial" w:hAnsi="Arial" w:cs="Arial"/>
                <w:color w:val="000000"/>
                <w:sz w:val="22"/>
                <w:szCs w:val="22"/>
              </w:rPr>
            </w:pPr>
            <w:r w:rsidRPr="00861042">
              <w:rPr>
                <w:rFonts w:ascii="Arial" w:hAnsi="Arial" w:cs="Arial"/>
                <w:sz w:val="22"/>
                <w:szCs w:val="22"/>
              </w:rPr>
              <w:t>132 hospitals report referring at least 85% of eligible patients to cardiac rehabilitation programmes; 10 hospitals report referring fewer than 50% of patients [Figure 3.19]</w:t>
            </w:r>
            <w:r w:rsidR="00451836" w:rsidRPr="00861042">
              <w:rPr>
                <w:rFonts w:ascii="Arial" w:hAnsi="Arial" w:cs="Arial"/>
                <w:sz w:val="22"/>
                <w:szCs w:val="22"/>
              </w:rPr>
              <w:t>.</w:t>
            </w:r>
          </w:p>
        </w:tc>
        <w:tc>
          <w:tcPr>
            <w:tcW w:w="0" w:type="auto"/>
            <w:gridSpan w:val="2"/>
            <w:shd w:val="clear" w:color="auto" w:fill="auto"/>
          </w:tcPr>
          <w:p w14:paraId="506BB0DD" w14:textId="3DDBD5F2" w:rsidR="008F2B6F" w:rsidRPr="00861042" w:rsidRDefault="008F2B6F" w:rsidP="008F2B6F">
            <w:pPr>
              <w:rPr>
                <w:rFonts w:ascii="Arial" w:hAnsi="Arial" w:cs="Arial"/>
                <w:color w:val="000000"/>
                <w:sz w:val="22"/>
                <w:szCs w:val="22"/>
              </w:rPr>
            </w:pPr>
            <w:r w:rsidRPr="00861042">
              <w:rPr>
                <w:rFonts w:ascii="Arial" w:hAnsi="Arial" w:cs="Arial"/>
                <w:color w:val="000000"/>
                <w:sz w:val="22"/>
                <w:szCs w:val="22"/>
              </w:rPr>
              <w:lastRenderedPageBreak/>
              <w:t>NHS Long Term Plan aspires to ‘85% of those eligible accessing cardiac rehabilitation’</w:t>
            </w:r>
            <w:r w:rsidR="00451836" w:rsidRPr="00861042">
              <w:rPr>
                <w:rFonts w:ascii="Arial" w:hAnsi="Arial" w:cs="Arial"/>
                <w:color w:val="000000"/>
                <w:sz w:val="22"/>
                <w:szCs w:val="22"/>
              </w:rPr>
              <w:t>.</w:t>
            </w:r>
          </w:p>
          <w:p w14:paraId="060C6B21" w14:textId="77777777" w:rsidR="008F2B6F" w:rsidRPr="00861042" w:rsidRDefault="008F2B6F" w:rsidP="008F2B6F">
            <w:pPr>
              <w:rPr>
                <w:rFonts w:ascii="Arial" w:hAnsi="Arial" w:cs="Arial"/>
                <w:color w:val="000000"/>
                <w:sz w:val="22"/>
                <w:szCs w:val="22"/>
              </w:rPr>
            </w:pPr>
          </w:p>
        </w:tc>
        <w:tc>
          <w:tcPr>
            <w:tcW w:w="0" w:type="auto"/>
            <w:shd w:val="clear" w:color="auto" w:fill="auto"/>
          </w:tcPr>
          <w:p w14:paraId="25768A16" w14:textId="60D09DA5" w:rsidR="008F2B6F" w:rsidRPr="00861042" w:rsidRDefault="008F2B6F" w:rsidP="008F2B6F">
            <w:pPr>
              <w:rPr>
                <w:rFonts w:ascii="Arial" w:hAnsi="Arial" w:cs="Arial"/>
                <w:sz w:val="22"/>
                <w:szCs w:val="22"/>
              </w:rPr>
            </w:pPr>
          </w:p>
        </w:tc>
        <w:tc>
          <w:tcPr>
            <w:tcW w:w="0" w:type="auto"/>
            <w:shd w:val="clear" w:color="auto" w:fill="auto"/>
          </w:tcPr>
          <w:p w14:paraId="4F9C3134" w14:textId="7E8ABAE7" w:rsidR="008F2B6F" w:rsidRPr="00861042" w:rsidRDefault="008F2B6F" w:rsidP="008F2B6F">
            <w:pPr>
              <w:rPr>
                <w:rFonts w:ascii="Arial" w:hAnsi="Arial" w:cs="Arial"/>
                <w:color w:val="000000"/>
                <w:sz w:val="22"/>
                <w:szCs w:val="22"/>
              </w:rPr>
            </w:pPr>
            <w:r w:rsidRPr="00861042">
              <w:rPr>
                <w:rFonts w:ascii="Arial" w:hAnsi="Arial" w:cs="Arial"/>
                <w:color w:val="000000"/>
                <w:sz w:val="22"/>
                <w:szCs w:val="22"/>
              </w:rPr>
              <w:t>NICE quality standard (QS 99) ‘Adults admitted to hospital with a myocardial infarction are referred for cardiac rehabilitation before discharge.’</w:t>
            </w:r>
          </w:p>
        </w:tc>
        <w:tc>
          <w:tcPr>
            <w:tcW w:w="0" w:type="auto"/>
            <w:shd w:val="clear" w:color="auto" w:fill="auto"/>
          </w:tcPr>
          <w:p w14:paraId="36186F1C" w14:textId="5D89A683" w:rsidR="008F2B6F" w:rsidRPr="00861042" w:rsidRDefault="008F2B6F" w:rsidP="008F2B6F">
            <w:pPr>
              <w:rPr>
                <w:rFonts w:ascii="Arial" w:hAnsi="Arial" w:cs="Arial"/>
                <w:color w:val="000000"/>
                <w:sz w:val="22"/>
                <w:szCs w:val="22"/>
              </w:rPr>
            </w:pPr>
            <w:r w:rsidRPr="00861042">
              <w:rPr>
                <w:rFonts w:ascii="Arial" w:hAnsi="Arial" w:cs="Arial"/>
                <w:color w:val="000000"/>
                <w:sz w:val="22"/>
                <w:szCs w:val="22"/>
              </w:rPr>
              <w:t xml:space="preserve">Continuing improvement over last </w:t>
            </w:r>
            <w:r w:rsidR="005516BB" w:rsidRPr="00861042">
              <w:rPr>
                <w:rFonts w:ascii="Arial" w:hAnsi="Arial" w:cs="Arial"/>
                <w:color w:val="000000"/>
                <w:sz w:val="22"/>
                <w:szCs w:val="22"/>
              </w:rPr>
              <w:t>4</w:t>
            </w:r>
            <w:r w:rsidRPr="00861042">
              <w:rPr>
                <w:rFonts w:ascii="Arial" w:hAnsi="Arial" w:cs="Arial"/>
                <w:color w:val="000000"/>
                <w:sz w:val="22"/>
                <w:szCs w:val="22"/>
              </w:rPr>
              <w:t xml:space="preserve"> years</w:t>
            </w:r>
            <w:r w:rsidR="005516BB" w:rsidRPr="00861042">
              <w:rPr>
                <w:rFonts w:ascii="Arial" w:hAnsi="Arial" w:cs="Arial"/>
                <w:color w:val="000000"/>
                <w:sz w:val="22"/>
                <w:szCs w:val="22"/>
              </w:rPr>
              <w:t xml:space="preserve"> – achieving NHS Long Term Plan aspirational ‘target’</w:t>
            </w:r>
            <w:r w:rsidR="00451836" w:rsidRPr="00861042">
              <w:rPr>
                <w:rFonts w:ascii="Arial" w:hAnsi="Arial" w:cs="Arial"/>
                <w:color w:val="000000"/>
                <w:sz w:val="22"/>
                <w:szCs w:val="22"/>
              </w:rPr>
              <w:t>.</w:t>
            </w:r>
          </w:p>
        </w:tc>
      </w:tr>
    </w:tbl>
    <w:p w14:paraId="768DC5DB" w14:textId="52C6B2C7" w:rsidR="002F2FD6" w:rsidRPr="00861042" w:rsidRDefault="002F2FD6">
      <w:pPr>
        <w:rPr>
          <w:rFonts w:ascii="Arial" w:hAnsi="Arial" w:cs="Arial"/>
          <w:sz w:val="22"/>
          <w:szCs w:val="22"/>
        </w:rPr>
      </w:pPr>
    </w:p>
    <w:p w14:paraId="0B32DA08" w14:textId="77777777" w:rsidR="008959DB" w:rsidRPr="00861042" w:rsidRDefault="008959DB">
      <w:pPr>
        <w:rPr>
          <w:rFonts w:ascii="Arial" w:hAnsi="Arial" w:cs="Arial"/>
          <w:sz w:val="22"/>
          <w:szCs w:val="22"/>
        </w:rPr>
      </w:pPr>
    </w:p>
    <w:sectPr w:rsidR="008959DB" w:rsidRPr="00861042" w:rsidSect="00BF4322">
      <w:headerReference w:type="default" r:id="rId10"/>
      <w:footerReference w:type="default" r:id="rId11"/>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0DEFF2" w14:textId="77777777" w:rsidR="005F6349" w:rsidRDefault="005F6349" w:rsidP="00AB1ED2">
      <w:r>
        <w:separator/>
      </w:r>
    </w:p>
  </w:endnote>
  <w:endnote w:type="continuationSeparator" w:id="0">
    <w:p w14:paraId="076BEA92" w14:textId="77777777" w:rsidR="005F6349" w:rsidRDefault="005F6349" w:rsidP="00AB1E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F20B90" w14:textId="39BFC0F9" w:rsidR="00AB1ED2" w:rsidRPr="00861042" w:rsidRDefault="00AB1ED2">
    <w:pPr>
      <w:pStyle w:val="Footer"/>
      <w:rPr>
        <w:rFonts w:ascii="Arial" w:hAnsi="Arial" w:cs="Arial"/>
        <w:bCs/>
        <w:sz w:val="18"/>
        <w:szCs w:val="18"/>
      </w:rPr>
    </w:pPr>
    <w:r w:rsidRPr="00861042">
      <w:rPr>
        <w:rFonts w:ascii="Arial" w:hAnsi="Arial" w:cs="Arial"/>
        <w:sz w:val="18"/>
        <w:szCs w:val="18"/>
      </w:rPr>
      <w:t xml:space="preserve">Page </w:t>
    </w:r>
    <w:r w:rsidRPr="00861042">
      <w:rPr>
        <w:rFonts w:ascii="Arial" w:hAnsi="Arial" w:cs="Arial"/>
        <w:bCs/>
        <w:sz w:val="18"/>
        <w:szCs w:val="18"/>
      </w:rPr>
      <w:fldChar w:fldCharType="begin"/>
    </w:r>
    <w:r w:rsidRPr="00861042">
      <w:rPr>
        <w:rFonts w:ascii="Arial" w:hAnsi="Arial" w:cs="Arial"/>
        <w:bCs/>
        <w:sz w:val="18"/>
        <w:szCs w:val="18"/>
      </w:rPr>
      <w:instrText xml:space="preserve"> PAGE </w:instrText>
    </w:r>
    <w:r w:rsidRPr="00861042">
      <w:rPr>
        <w:rFonts w:ascii="Arial" w:hAnsi="Arial" w:cs="Arial"/>
        <w:bCs/>
        <w:sz w:val="18"/>
        <w:szCs w:val="18"/>
      </w:rPr>
      <w:fldChar w:fldCharType="separate"/>
    </w:r>
    <w:r w:rsidR="00EB2BF8" w:rsidRPr="00861042">
      <w:rPr>
        <w:rFonts w:ascii="Arial" w:hAnsi="Arial" w:cs="Arial"/>
        <w:bCs/>
        <w:noProof/>
        <w:sz w:val="18"/>
        <w:szCs w:val="18"/>
      </w:rPr>
      <w:t>1</w:t>
    </w:r>
    <w:r w:rsidRPr="00861042">
      <w:rPr>
        <w:rFonts w:ascii="Arial" w:hAnsi="Arial" w:cs="Arial"/>
        <w:bCs/>
        <w:sz w:val="18"/>
        <w:szCs w:val="18"/>
      </w:rPr>
      <w:fldChar w:fldCharType="end"/>
    </w:r>
    <w:r w:rsidRPr="00861042">
      <w:rPr>
        <w:rFonts w:ascii="Arial" w:hAnsi="Arial" w:cs="Arial"/>
        <w:sz w:val="18"/>
        <w:szCs w:val="18"/>
      </w:rPr>
      <w:t xml:space="preserve"> of </w:t>
    </w:r>
    <w:r w:rsidRPr="00861042">
      <w:rPr>
        <w:rFonts w:ascii="Arial" w:hAnsi="Arial" w:cs="Arial"/>
        <w:bCs/>
        <w:sz w:val="18"/>
        <w:szCs w:val="18"/>
      </w:rPr>
      <w:fldChar w:fldCharType="begin"/>
    </w:r>
    <w:r w:rsidRPr="00861042">
      <w:rPr>
        <w:rFonts w:ascii="Arial" w:hAnsi="Arial" w:cs="Arial"/>
        <w:bCs/>
        <w:sz w:val="18"/>
        <w:szCs w:val="18"/>
      </w:rPr>
      <w:instrText xml:space="preserve"> NUMPAGES  </w:instrText>
    </w:r>
    <w:r w:rsidRPr="00861042">
      <w:rPr>
        <w:rFonts w:ascii="Arial" w:hAnsi="Arial" w:cs="Arial"/>
        <w:bCs/>
        <w:sz w:val="18"/>
        <w:szCs w:val="18"/>
      </w:rPr>
      <w:fldChar w:fldCharType="separate"/>
    </w:r>
    <w:r w:rsidR="00EB2BF8" w:rsidRPr="00861042">
      <w:rPr>
        <w:rFonts w:ascii="Arial" w:hAnsi="Arial" w:cs="Arial"/>
        <w:bCs/>
        <w:noProof/>
        <w:sz w:val="18"/>
        <w:szCs w:val="18"/>
      </w:rPr>
      <w:t>7</w:t>
    </w:r>
    <w:r w:rsidRPr="00861042">
      <w:rPr>
        <w:rFonts w:ascii="Arial" w:hAnsi="Arial" w:cs="Arial"/>
        <w:bCs/>
        <w:sz w:val="18"/>
        <w:szCs w:val="18"/>
      </w:rPr>
      <w:fldChar w:fldCharType="end"/>
    </w:r>
    <w:r w:rsidRPr="00861042">
      <w:rPr>
        <w:rFonts w:ascii="Arial" w:hAnsi="Arial" w:cs="Arial"/>
        <w:bCs/>
        <w:sz w:val="18"/>
        <w:szCs w:val="18"/>
      </w:rPr>
      <w:t xml:space="preserve"> SRP provider line of sight template </w:t>
    </w:r>
    <w:r w:rsidR="00650629" w:rsidRPr="00861042">
      <w:rPr>
        <w:rFonts w:ascii="Arial" w:hAnsi="Arial" w:cs="Arial"/>
        <w:bCs/>
        <w:sz w:val="18"/>
        <w:szCs w:val="18"/>
      </w:rPr>
      <w:t>10</w:t>
    </w:r>
    <w:r w:rsidR="00D54A97" w:rsidRPr="00861042">
      <w:rPr>
        <w:rFonts w:ascii="Arial" w:hAnsi="Arial" w:cs="Arial"/>
        <w:bCs/>
        <w:sz w:val="18"/>
        <w:szCs w:val="18"/>
      </w:rPr>
      <w:t>-0</w:t>
    </w:r>
    <w:r w:rsidR="00650629" w:rsidRPr="00861042">
      <w:rPr>
        <w:rFonts w:ascii="Arial" w:hAnsi="Arial" w:cs="Arial"/>
        <w:bCs/>
        <w:sz w:val="18"/>
        <w:szCs w:val="18"/>
      </w:rPr>
      <w:t>6</w:t>
    </w:r>
    <w:r w:rsidR="00D54A97" w:rsidRPr="00861042">
      <w:rPr>
        <w:rFonts w:ascii="Arial" w:hAnsi="Arial" w:cs="Arial"/>
        <w:bCs/>
        <w:sz w:val="18"/>
        <w:szCs w:val="18"/>
      </w:rPr>
      <w:t>-20</w:t>
    </w:r>
    <w:r w:rsidR="00650629" w:rsidRPr="00861042">
      <w:rPr>
        <w:rFonts w:ascii="Arial" w:hAnsi="Arial" w:cs="Arial"/>
        <w:bCs/>
        <w:sz w:val="18"/>
        <w:szCs w:val="18"/>
      </w:rPr>
      <w:t>21</w:t>
    </w:r>
  </w:p>
  <w:p w14:paraId="0C5AE68E" w14:textId="77777777" w:rsidR="00650629" w:rsidRDefault="00650629">
    <w:pPr>
      <w:pStyle w:val="Footer"/>
    </w:pPr>
  </w:p>
  <w:p w14:paraId="4AB29982" w14:textId="77777777" w:rsidR="00AB1ED2" w:rsidRDefault="00AB1ED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B8F1B4" w14:textId="77777777" w:rsidR="005F6349" w:rsidRDefault="005F6349" w:rsidP="00AB1ED2">
      <w:r>
        <w:separator/>
      </w:r>
    </w:p>
  </w:footnote>
  <w:footnote w:type="continuationSeparator" w:id="0">
    <w:p w14:paraId="2065CD90" w14:textId="77777777" w:rsidR="005F6349" w:rsidRDefault="005F6349" w:rsidP="00AB1E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1F8729" w14:textId="42C394A7" w:rsidR="00861042" w:rsidRDefault="00861042" w:rsidP="00861042">
    <w:pPr>
      <w:pStyle w:val="Header"/>
      <w:jc w:val="right"/>
    </w:pPr>
    <w:r>
      <w:rPr>
        <w:noProof/>
      </w:rPr>
      <w:drawing>
        <wp:inline distT="0" distB="0" distL="0" distR="0" wp14:anchorId="642A9140" wp14:editId="08F57315">
          <wp:extent cx="1790700" cy="983417"/>
          <wp:effectExtent l="0" t="0" r="0" b="7620"/>
          <wp:docPr id="1" name="Picture 1" descr="A black and red 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ack and red logo&#10;&#10;Description automatically generated with low confidence"/>
                  <pic:cNvPicPr/>
                </pic:nvPicPr>
                <pic:blipFill>
                  <a:blip r:embed="rId1">
                    <a:extLst>
                      <a:ext uri="{28A0092B-C50C-407E-A947-70E740481C1C}">
                        <a14:useLocalDpi xmlns:a14="http://schemas.microsoft.com/office/drawing/2010/main" val="0"/>
                      </a:ext>
                    </a:extLst>
                  </a:blip>
                  <a:stretch>
                    <a:fillRect/>
                  </a:stretch>
                </pic:blipFill>
                <pic:spPr>
                  <a:xfrm>
                    <a:off x="0" y="0"/>
                    <a:ext cx="1807513" cy="992650"/>
                  </a:xfrm>
                  <a:prstGeom prst="rect">
                    <a:avLst/>
                  </a:prstGeom>
                </pic:spPr>
              </pic:pic>
            </a:graphicData>
          </a:graphic>
        </wp:inline>
      </w:drawing>
    </w:r>
  </w:p>
  <w:p w14:paraId="0340F066" w14:textId="77777777" w:rsidR="00861042" w:rsidRDefault="0086104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84480F"/>
    <w:multiLevelType w:val="hybridMultilevel"/>
    <w:tmpl w:val="10CA59E6"/>
    <w:lvl w:ilvl="0" w:tplc="4BE28D0E">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 w15:restartNumberingAfterBreak="0">
    <w:nsid w:val="1E36479F"/>
    <w:multiLevelType w:val="multilevel"/>
    <w:tmpl w:val="BDD8B8A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2217ED6"/>
    <w:multiLevelType w:val="hybridMultilevel"/>
    <w:tmpl w:val="79E4AD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5B12116"/>
    <w:multiLevelType w:val="multilevel"/>
    <w:tmpl w:val="F7C04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A216195"/>
    <w:multiLevelType w:val="hybridMultilevel"/>
    <w:tmpl w:val="9912B5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49208F3"/>
    <w:multiLevelType w:val="multilevel"/>
    <w:tmpl w:val="F6E08A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5562898"/>
    <w:multiLevelType w:val="multilevel"/>
    <w:tmpl w:val="054697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E031333"/>
    <w:multiLevelType w:val="hybridMultilevel"/>
    <w:tmpl w:val="979481D8"/>
    <w:lvl w:ilvl="0" w:tplc="08090001">
      <w:start w:val="1"/>
      <w:numFmt w:val="bullet"/>
      <w:lvlText w:val=""/>
      <w:lvlJc w:val="left"/>
      <w:pPr>
        <w:ind w:left="760" w:hanging="360"/>
      </w:pPr>
      <w:rPr>
        <w:rFonts w:ascii="Symbol" w:hAnsi="Symbol" w:hint="default"/>
      </w:rPr>
    </w:lvl>
    <w:lvl w:ilvl="1" w:tplc="08090003" w:tentative="1">
      <w:start w:val="1"/>
      <w:numFmt w:val="bullet"/>
      <w:lvlText w:val="o"/>
      <w:lvlJc w:val="left"/>
      <w:pPr>
        <w:ind w:left="1480" w:hanging="360"/>
      </w:pPr>
      <w:rPr>
        <w:rFonts w:ascii="Courier New" w:hAnsi="Courier New" w:cs="Courier New" w:hint="default"/>
      </w:rPr>
    </w:lvl>
    <w:lvl w:ilvl="2" w:tplc="08090005" w:tentative="1">
      <w:start w:val="1"/>
      <w:numFmt w:val="bullet"/>
      <w:lvlText w:val=""/>
      <w:lvlJc w:val="left"/>
      <w:pPr>
        <w:ind w:left="2200" w:hanging="360"/>
      </w:pPr>
      <w:rPr>
        <w:rFonts w:ascii="Wingdings" w:hAnsi="Wingdings" w:hint="default"/>
      </w:rPr>
    </w:lvl>
    <w:lvl w:ilvl="3" w:tplc="08090001" w:tentative="1">
      <w:start w:val="1"/>
      <w:numFmt w:val="bullet"/>
      <w:lvlText w:val=""/>
      <w:lvlJc w:val="left"/>
      <w:pPr>
        <w:ind w:left="2920" w:hanging="360"/>
      </w:pPr>
      <w:rPr>
        <w:rFonts w:ascii="Symbol" w:hAnsi="Symbol" w:hint="default"/>
      </w:rPr>
    </w:lvl>
    <w:lvl w:ilvl="4" w:tplc="08090003" w:tentative="1">
      <w:start w:val="1"/>
      <w:numFmt w:val="bullet"/>
      <w:lvlText w:val="o"/>
      <w:lvlJc w:val="left"/>
      <w:pPr>
        <w:ind w:left="3640" w:hanging="360"/>
      </w:pPr>
      <w:rPr>
        <w:rFonts w:ascii="Courier New" w:hAnsi="Courier New" w:cs="Courier New" w:hint="default"/>
      </w:rPr>
    </w:lvl>
    <w:lvl w:ilvl="5" w:tplc="08090005" w:tentative="1">
      <w:start w:val="1"/>
      <w:numFmt w:val="bullet"/>
      <w:lvlText w:val=""/>
      <w:lvlJc w:val="left"/>
      <w:pPr>
        <w:ind w:left="4360" w:hanging="360"/>
      </w:pPr>
      <w:rPr>
        <w:rFonts w:ascii="Wingdings" w:hAnsi="Wingdings" w:hint="default"/>
      </w:rPr>
    </w:lvl>
    <w:lvl w:ilvl="6" w:tplc="08090001" w:tentative="1">
      <w:start w:val="1"/>
      <w:numFmt w:val="bullet"/>
      <w:lvlText w:val=""/>
      <w:lvlJc w:val="left"/>
      <w:pPr>
        <w:ind w:left="5080" w:hanging="360"/>
      </w:pPr>
      <w:rPr>
        <w:rFonts w:ascii="Symbol" w:hAnsi="Symbol" w:hint="default"/>
      </w:rPr>
    </w:lvl>
    <w:lvl w:ilvl="7" w:tplc="08090003" w:tentative="1">
      <w:start w:val="1"/>
      <w:numFmt w:val="bullet"/>
      <w:lvlText w:val="o"/>
      <w:lvlJc w:val="left"/>
      <w:pPr>
        <w:ind w:left="5800" w:hanging="360"/>
      </w:pPr>
      <w:rPr>
        <w:rFonts w:ascii="Courier New" w:hAnsi="Courier New" w:cs="Courier New" w:hint="default"/>
      </w:rPr>
    </w:lvl>
    <w:lvl w:ilvl="8" w:tplc="08090005" w:tentative="1">
      <w:start w:val="1"/>
      <w:numFmt w:val="bullet"/>
      <w:lvlText w:val=""/>
      <w:lvlJc w:val="left"/>
      <w:pPr>
        <w:ind w:left="6520" w:hanging="360"/>
      </w:pPr>
      <w:rPr>
        <w:rFonts w:ascii="Wingdings" w:hAnsi="Wingdings" w:hint="default"/>
      </w:rPr>
    </w:lvl>
  </w:abstractNum>
  <w:abstractNum w:abstractNumId="8" w15:restartNumberingAfterBreak="0">
    <w:nsid w:val="514C0F9C"/>
    <w:multiLevelType w:val="multilevel"/>
    <w:tmpl w:val="325E92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3DA2627"/>
    <w:multiLevelType w:val="hybridMultilevel"/>
    <w:tmpl w:val="FD84425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0E60FCA"/>
    <w:multiLevelType w:val="multilevel"/>
    <w:tmpl w:val="F8DC9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8733674"/>
    <w:multiLevelType w:val="hybridMultilevel"/>
    <w:tmpl w:val="FA7ABAD2"/>
    <w:lvl w:ilvl="0" w:tplc="93EA0BFA">
      <w:start w:val="1"/>
      <w:numFmt w:val="decimal"/>
      <w:lvlText w:val="%1."/>
      <w:lvlJc w:val="left"/>
      <w:pPr>
        <w:ind w:left="720" w:hanging="360"/>
      </w:pPr>
      <w:rPr>
        <w:rFonts w:eastAsia="Times New Roman" w:cs="Times New Roman"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A7C3491"/>
    <w:multiLevelType w:val="hybridMultilevel"/>
    <w:tmpl w:val="2154F42A"/>
    <w:lvl w:ilvl="0" w:tplc="FA40104E">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7D8652E7"/>
    <w:multiLevelType w:val="hybridMultilevel"/>
    <w:tmpl w:val="4F96A6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02605622">
    <w:abstractNumId w:val="13"/>
  </w:num>
  <w:num w:numId="2" w16cid:durableId="2090493044">
    <w:abstractNumId w:val="2"/>
  </w:num>
  <w:num w:numId="3" w16cid:durableId="1167670557">
    <w:abstractNumId w:val="1"/>
  </w:num>
  <w:num w:numId="4" w16cid:durableId="175196476">
    <w:abstractNumId w:val="11"/>
  </w:num>
  <w:num w:numId="5" w16cid:durableId="1418137568">
    <w:abstractNumId w:val="7"/>
  </w:num>
  <w:num w:numId="6" w16cid:durableId="1506745550">
    <w:abstractNumId w:val="9"/>
  </w:num>
  <w:num w:numId="7" w16cid:durableId="598484007">
    <w:abstractNumId w:val="6"/>
  </w:num>
  <w:num w:numId="8" w16cid:durableId="1464275339">
    <w:abstractNumId w:val="5"/>
  </w:num>
  <w:num w:numId="9" w16cid:durableId="676882145">
    <w:abstractNumId w:val="10"/>
  </w:num>
  <w:num w:numId="10" w16cid:durableId="175854205">
    <w:abstractNumId w:val="8"/>
  </w:num>
  <w:num w:numId="11" w16cid:durableId="1245996824">
    <w:abstractNumId w:val="4"/>
  </w:num>
  <w:num w:numId="12" w16cid:durableId="901982391">
    <w:abstractNumId w:val="3"/>
  </w:num>
  <w:num w:numId="13" w16cid:durableId="485901377">
    <w:abstractNumId w:val="0"/>
  </w:num>
  <w:num w:numId="14" w16cid:durableId="117522367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5A69"/>
    <w:rsid w:val="00000CFC"/>
    <w:rsid w:val="00004BDA"/>
    <w:rsid w:val="00033AF5"/>
    <w:rsid w:val="000342A8"/>
    <w:rsid w:val="00037383"/>
    <w:rsid w:val="0005388E"/>
    <w:rsid w:val="00082A47"/>
    <w:rsid w:val="00094FB5"/>
    <w:rsid w:val="00096853"/>
    <w:rsid w:val="000A47BB"/>
    <w:rsid w:val="000B2291"/>
    <w:rsid w:val="000C1D25"/>
    <w:rsid w:val="000F34F8"/>
    <w:rsid w:val="000F5F5E"/>
    <w:rsid w:val="001034D0"/>
    <w:rsid w:val="00142898"/>
    <w:rsid w:val="0014355E"/>
    <w:rsid w:val="0014502F"/>
    <w:rsid w:val="00153B21"/>
    <w:rsid w:val="00186B91"/>
    <w:rsid w:val="001877F1"/>
    <w:rsid w:val="001B2936"/>
    <w:rsid w:val="001F0ABB"/>
    <w:rsid w:val="0021652D"/>
    <w:rsid w:val="00221C0A"/>
    <w:rsid w:val="00232B28"/>
    <w:rsid w:val="002479F5"/>
    <w:rsid w:val="00255C4F"/>
    <w:rsid w:val="0026478B"/>
    <w:rsid w:val="002C3D24"/>
    <w:rsid w:val="002C5553"/>
    <w:rsid w:val="002F2FD6"/>
    <w:rsid w:val="002F68C7"/>
    <w:rsid w:val="00307EDE"/>
    <w:rsid w:val="00321E5B"/>
    <w:rsid w:val="0034356E"/>
    <w:rsid w:val="003751D0"/>
    <w:rsid w:val="00376BF4"/>
    <w:rsid w:val="0037726D"/>
    <w:rsid w:val="003A201A"/>
    <w:rsid w:val="003C1908"/>
    <w:rsid w:val="003D365B"/>
    <w:rsid w:val="003F14F8"/>
    <w:rsid w:val="00420FC9"/>
    <w:rsid w:val="004212BB"/>
    <w:rsid w:val="00431444"/>
    <w:rsid w:val="00446006"/>
    <w:rsid w:val="00451836"/>
    <w:rsid w:val="00454764"/>
    <w:rsid w:val="004A5C22"/>
    <w:rsid w:val="0052030B"/>
    <w:rsid w:val="0052068D"/>
    <w:rsid w:val="005516BB"/>
    <w:rsid w:val="00554FDB"/>
    <w:rsid w:val="005564D0"/>
    <w:rsid w:val="00556A4F"/>
    <w:rsid w:val="00566815"/>
    <w:rsid w:val="00567C80"/>
    <w:rsid w:val="005A6975"/>
    <w:rsid w:val="005B2620"/>
    <w:rsid w:val="005C4D00"/>
    <w:rsid w:val="005E7BEB"/>
    <w:rsid w:val="005F6349"/>
    <w:rsid w:val="00621B37"/>
    <w:rsid w:val="00650629"/>
    <w:rsid w:val="00686258"/>
    <w:rsid w:val="006B061D"/>
    <w:rsid w:val="00716CF3"/>
    <w:rsid w:val="00730759"/>
    <w:rsid w:val="00786443"/>
    <w:rsid w:val="007879D7"/>
    <w:rsid w:val="00794C3F"/>
    <w:rsid w:val="007A1A93"/>
    <w:rsid w:val="007D795F"/>
    <w:rsid w:val="007E5382"/>
    <w:rsid w:val="007F7577"/>
    <w:rsid w:val="00823891"/>
    <w:rsid w:val="00834968"/>
    <w:rsid w:val="00852EBD"/>
    <w:rsid w:val="00861042"/>
    <w:rsid w:val="008712C6"/>
    <w:rsid w:val="00874908"/>
    <w:rsid w:val="0087680E"/>
    <w:rsid w:val="008959DB"/>
    <w:rsid w:val="00897779"/>
    <w:rsid w:val="008C689F"/>
    <w:rsid w:val="008C6A5F"/>
    <w:rsid w:val="008E6341"/>
    <w:rsid w:val="008F2B6F"/>
    <w:rsid w:val="00942BE5"/>
    <w:rsid w:val="009660B4"/>
    <w:rsid w:val="00974803"/>
    <w:rsid w:val="00992233"/>
    <w:rsid w:val="00996B2C"/>
    <w:rsid w:val="009C57DC"/>
    <w:rsid w:val="009D37FB"/>
    <w:rsid w:val="00A06BA9"/>
    <w:rsid w:val="00A1363F"/>
    <w:rsid w:val="00A3211F"/>
    <w:rsid w:val="00A40359"/>
    <w:rsid w:val="00A61C6F"/>
    <w:rsid w:val="00A663B6"/>
    <w:rsid w:val="00AA1F8D"/>
    <w:rsid w:val="00AB1ED2"/>
    <w:rsid w:val="00AB5A81"/>
    <w:rsid w:val="00AC6F95"/>
    <w:rsid w:val="00AD36E5"/>
    <w:rsid w:val="00B14629"/>
    <w:rsid w:val="00B147EE"/>
    <w:rsid w:val="00B15A69"/>
    <w:rsid w:val="00B166D0"/>
    <w:rsid w:val="00B21A82"/>
    <w:rsid w:val="00B31365"/>
    <w:rsid w:val="00B31B74"/>
    <w:rsid w:val="00B5313D"/>
    <w:rsid w:val="00B568B9"/>
    <w:rsid w:val="00B7137E"/>
    <w:rsid w:val="00B76B13"/>
    <w:rsid w:val="00B84388"/>
    <w:rsid w:val="00B93828"/>
    <w:rsid w:val="00BB3DAC"/>
    <w:rsid w:val="00BB5202"/>
    <w:rsid w:val="00BC1CB7"/>
    <w:rsid w:val="00BD0CC6"/>
    <w:rsid w:val="00BE5154"/>
    <w:rsid w:val="00BF422D"/>
    <w:rsid w:val="00BF4322"/>
    <w:rsid w:val="00C15060"/>
    <w:rsid w:val="00C22546"/>
    <w:rsid w:val="00C3059E"/>
    <w:rsid w:val="00C40067"/>
    <w:rsid w:val="00C43E31"/>
    <w:rsid w:val="00C52145"/>
    <w:rsid w:val="00C53789"/>
    <w:rsid w:val="00C566FF"/>
    <w:rsid w:val="00C7466A"/>
    <w:rsid w:val="00C75440"/>
    <w:rsid w:val="00C7780A"/>
    <w:rsid w:val="00CA1BA3"/>
    <w:rsid w:val="00CA5802"/>
    <w:rsid w:val="00CC1F7A"/>
    <w:rsid w:val="00CD469F"/>
    <w:rsid w:val="00D13063"/>
    <w:rsid w:val="00D23BD4"/>
    <w:rsid w:val="00D23D47"/>
    <w:rsid w:val="00D32FA9"/>
    <w:rsid w:val="00D5451B"/>
    <w:rsid w:val="00D54A97"/>
    <w:rsid w:val="00D54FC7"/>
    <w:rsid w:val="00D9143A"/>
    <w:rsid w:val="00DA6F19"/>
    <w:rsid w:val="00DB28AD"/>
    <w:rsid w:val="00DC37A9"/>
    <w:rsid w:val="00DF5E1E"/>
    <w:rsid w:val="00DF7380"/>
    <w:rsid w:val="00E04890"/>
    <w:rsid w:val="00E115A3"/>
    <w:rsid w:val="00E30225"/>
    <w:rsid w:val="00E706F0"/>
    <w:rsid w:val="00EB2BF8"/>
    <w:rsid w:val="00EC0105"/>
    <w:rsid w:val="00ED4CE9"/>
    <w:rsid w:val="00F03E70"/>
    <w:rsid w:val="00F313B7"/>
    <w:rsid w:val="00F65A0E"/>
    <w:rsid w:val="00FC36C9"/>
    <w:rsid w:val="00FD29EA"/>
    <w:rsid w:val="00FF26B0"/>
    <w:rsid w:val="29D11A16"/>
    <w:rsid w:val="569C00F1"/>
    <w:rsid w:val="678400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887743"/>
  <w15:docId w15:val="{8C53E031-3B89-A84F-8D69-65A098AD46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5202"/>
    <w:rPr>
      <w:rFonts w:ascii="Times New Roman" w:eastAsia="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21C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B1ED2"/>
    <w:pPr>
      <w:tabs>
        <w:tab w:val="center" w:pos="4513"/>
        <w:tab w:val="right" w:pos="9026"/>
      </w:tabs>
    </w:pPr>
    <w:rPr>
      <w:rFonts w:ascii="Calibri" w:eastAsia="Calibri" w:hAnsi="Calibri"/>
      <w:sz w:val="22"/>
      <w:szCs w:val="22"/>
      <w:lang w:eastAsia="en-US"/>
    </w:rPr>
  </w:style>
  <w:style w:type="character" w:customStyle="1" w:styleId="HeaderChar">
    <w:name w:val="Header Char"/>
    <w:basedOn w:val="DefaultParagraphFont"/>
    <w:link w:val="Header"/>
    <w:uiPriority w:val="99"/>
    <w:rsid w:val="00AB1ED2"/>
  </w:style>
  <w:style w:type="paragraph" w:styleId="Footer">
    <w:name w:val="footer"/>
    <w:basedOn w:val="Normal"/>
    <w:link w:val="FooterChar"/>
    <w:uiPriority w:val="99"/>
    <w:unhideWhenUsed/>
    <w:rsid w:val="00AB1ED2"/>
    <w:pPr>
      <w:tabs>
        <w:tab w:val="center" w:pos="4513"/>
        <w:tab w:val="right" w:pos="9026"/>
      </w:tabs>
    </w:pPr>
    <w:rPr>
      <w:rFonts w:ascii="Calibri" w:eastAsia="Calibri" w:hAnsi="Calibri"/>
      <w:sz w:val="22"/>
      <w:szCs w:val="22"/>
      <w:lang w:eastAsia="en-US"/>
    </w:rPr>
  </w:style>
  <w:style w:type="character" w:customStyle="1" w:styleId="FooterChar">
    <w:name w:val="Footer Char"/>
    <w:basedOn w:val="DefaultParagraphFont"/>
    <w:link w:val="Footer"/>
    <w:uiPriority w:val="99"/>
    <w:rsid w:val="00AB1ED2"/>
  </w:style>
  <w:style w:type="paragraph" w:styleId="ListParagraph">
    <w:name w:val="List Paragraph"/>
    <w:basedOn w:val="Normal"/>
    <w:uiPriority w:val="34"/>
    <w:qFormat/>
    <w:rsid w:val="007E5382"/>
    <w:pPr>
      <w:spacing w:after="160" w:line="259" w:lineRule="auto"/>
      <w:ind w:left="720"/>
      <w:contextualSpacing/>
    </w:pPr>
    <w:rPr>
      <w:rFonts w:ascii="Calibri" w:eastAsia="Calibri" w:hAnsi="Calibri"/>
      <w:sz w:val="22"/>
      <w:szCs w:val="22"/>
      <w:lang w:eastAsia="en-US"/>
    </w:rPr>
  </w:style>
  <w:style w:type="character" w:styleId="CommentReference">
    <w:name w:val="annotation reference"/>
    <w:uiPriority w:val="99"/>
    <w:semiHidden/>
    <w:unhideWhenUsed/>
    <w:rsid w:val="00BE5154"/>
    <w:rPr>
      <w:sz w:val="16"/>
      <w:szCs w:val="16"/>
    </w:rPr>
  </w:style>
  <w:style w:type="paragraph" w:styleId="CommentText">
    <w:name w:val="annotation text"/>
    <w:basedOn w:val="Normal"/>
    <w:link w:val="CommentTextChar"/>
    <w:uiPriority w:val="99"/>
    <w:semiHidden/>
    <w:unhideWhenUsed/>
    <w:rsid w:val="00BE5154"/>
    <w:pPr>
      <w:spacing w:after="160"/>
    </w:pPr>
    <w:rPr>
      <w:rFonts w:ascii="Calibri" w:eastAsia="Calibri" w:hAnsi="Calibri"/>
      <w:sz w:val="20"/>
      <w:szCs w:val="20"/>
      <w:lang w:eastAsia="en-US"/>
    </w:rPr>
  </w:style>
  <w:style w:type="character" w:customStyle="1" w:styleId="CommentTextChar">
    <w:name w:val="Comment Text Char"/>
    <w:link w:val="CommentText"/>
    <w:uiPriority w:val="99"/>
    <w:semiHidden/>
    <w:rsid w:val="00BE5154"/>
    <w:rPr>
      <w:sz w:val="20"/>
      <w:szCs w:val="20"/>
    </w:rPr>
  </w:style>
  <w:style w:type="paragraph" w:styleId="CommentSubject">
    <w:name w:val="annotation subject"/>
    <w:basedOn w:val="CommentText"/>
    <w:next w:val="CommentText"/>
    <w:link w:val="CommentSubjectChar"/>
    <w:uiPriority w:val="99"/>
    <w:semiHidden/>
    <w:unhideWhenUsed/>
    <w:rsid w:val="00BE5154"/>
    <w:rPr>
      <w:b/>
      <w:bCs/>
    </w:rPr>
  </w:style>
  <w:style w:type="character" w:customStyle="1" w:styleId="CommentSubjectChar">
    <w:name w:val="Comment Subject Char"/>
    <w:link w:val="CommentSubject"/>
    <w:uiPriority w:val="99"/>
    <w:semiHidden/>
    <w:rsid w:val="00BE5154"/>
    <w:rPr>
      <w:b/>
      <w:bCs/>
      <w:sz w:val="20"/>
      <w:szCs w:val="20"/>
    </w:rPr>
  </w:style>
  <w:style w:type="paragraph" w:styleId="BalloonText">
    <w:name w:val="Balloon Text"/>
    <w:basedOn w:val="Normal"/>
    <w:link w:val="BalloonTextChar"/>
    <w:uiPriority w:val="99"/>
    <w:semiHidden/>
    <w:unhideWhenUsed/>
    <w:rsid w:val="00BE5154"/>
    <w:rPr>
      <w:rFonts w:ascii="Tahoma" w:eastAsia="Calibri" w:hAnsi="Tahoma" w:cs="Tahoma"/>
      <w:sz w:val="16"/>
      <w:szCs w:val="16"/>
      <w:lang w:eastAsia="en-US"/>
    </w:rPr>
  </w:style>
  <w:style w:type="character" w:customStyle="1" w:styleId="BalloonTextChar">
    <w:name w:val="Balloon Text Char"/>
    <w:link w:val="BalloonText"/>
    <w:uiPriority w:val="99"/>
    <w:semiHidden/>
    <w:rsid w:val="00BE5154"/>
    <w:rPr>
      <w:rFonts w:ascii="Tahoma" w:hAnsi="Tahoma" w:cs="Tahoma"/>
      <w:sz w:val="16"/>
      <w:szCs w:val="16"/>
    </w:rPr>
  </w:style>
  <w:style w:type="paragraph" w:styleId="NormalWeb">
    <w:name w:val="Normal (Web)"/>
    <w:basedOn w:val="Normal"/>
    <w:uiPriority w:val="99"/>
    <w:semiHidden/>
    <w:unhideWhenUsed/>
    <w:rsid w:val="009C57DC"/>
    <w:pPr>
      <w:spacing w:before="100" w:beforeAutospacing="1" w:after="100" w:afterAutospacing="1"/>
    </w:pPr>
  </w:style>
  <w:style w:type="character" w:styleId="Hyperlink">
    <w:name w:val="Hyperlink"/>
    <w:basedOn w:val="DefaultParagraphFont"/>
    <w:uiPriority w:val="99"/>
    <w:unhideWhenUsed/>
    <w:rsid w:val="00E706F0"/>
    <w:rPr>
      <w:rFonts w:asciiTheme="minorHAnsi" w:hAnsiTheme="minorHAnsi"/>
      <w:color w:val="0563C1" w:themeColor="hyperlink"/>
      <w:sz w:val="22"/>
      <w:u w:val="single"/>
    </w:rPr>
  </w:style>
  <w:style w:type="paragraph" w:styleId="EndnoteText">
    <w:name w:val="endnote text"/>
    <w:basedOn w:val="Normal"/>
    <w:link w:val="EndnoteTextChar"/>
    <w:uiPriority w:val="99"/>
    <w:semiHidden/>
    <w:unhideWhenUsed/>
    <w:rsid w:val="00E706F0"/>
    <w:pPr>
      <w:ind w:left="567"/>
    </w:pPr>
    <w:rPr>
      <w:rFonts w:asciiTheme="minorHAnsi" w:hAnsiTheme="minorHAnsi" w:cstheme="minorHAnsi"/>
      <w:sz w:val="20"/>
      <w:szCs w:val="20"/>
    </w:rPr>
  </w:style>
  <w:style w:type="character" w:customStyle="1" w:styleId="EndnoteTextChar">
    <w:name w:val="Endnote Text Char"/>
    <w:basedOn w:val="DefaultParagraphFont"/>
    <w:link w:val="EndnoteText"/>
    <w:uiPriority w:val="99"/>
    <w:semiHidden/>
    <w:rsid w:val="00E706F0"/>
    <w:rPr>
      <w:rFonts w:asciiTheme="minorHAnsi" w:eastAsia="Times New Roman" w:hAnsiTheme="minorHAnsi" w:cstheme="minorHAnsi"/>
    </w:rPr>
  </w:style>
  <w:style w:type="character" w:styleId="EndnoteReference">
    <w:name w:val="endnote reference"/>
    <w:basedOn w:val="DefaultParagraphFont"/>
    <w:uiPriority w:val="99"/>
    <w:semiHidden/>
    <w:unhideWhenUsed/>
    <w:rsid w:val="00E706F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936919">
      <w:bodyDiv w:val="1"/>
      <w:marLeft w:val="0"/>
      <w:marRight w:val="0"/>
      <w:marTop w:val="0"/>
      <w:marBottom w:val="0"/>
      <w:divBdr>
        <w:top w:val="none" w:sz="0" w:space="0" w:color="auto"/>
        <w:left w:val="none" w:sz="0" w:space="0" w:color="auto"/>
        <w:bottom w:val="none" w:sz="0" w:space="0" w:color="auto"/>
        <w:right w:val="none" w:sz="0" w:space="0" w:color="auto"/>
      </w:divBdr>
    </w:div>
    <w:div w:id="107287149">
      <w:bodyDiv w:val="1"/>
      <w:marLeft w:val="0"/>
      <w:marRight w:val="0"/>
      <w:marTop w:val="0"/>
      <w:marBottom w:val="0"/>
      <w:divBdr>
        <w:top w:val="none" w:sz="0" w:space="0" w:color="auto"/>
        <w:left w:val="none" w:sz="0" w:space="0" w:color="auto"/>
        <w:bottom w:val="none" w:sz="0" w:space="0" w:color="auto"/>
        <w:right w:val="none" w:sz="0" w:space="0" w:color="auto"/>
      </w:divBdr>
    </w:div>
    <w:div w:id="116068077">
      <w:bodyDiv w:val="1"/>
      <w:marLeft w:val="0"/>
      <w:marRight w:val="0"/>
      <w:marTop w:val="0"/>
      <w:marBottom w:val="0"/>
      <w:divBdr>
        <w:top w:val="none" w:sz="0" w:space="0" w:color="auto"/>
        <w:left w:val="none" w:sz="0" w:space="0" w:color="auto"/>
        <w:bottom w:val="none" w:sz="0" w:space="0" w:color="auto"/>
        <w:right w:val="none" w:sz="0" w:space="0" w:color="auto"/>
      </w:divBdr>
    </w:div>
    <w:div w:id="185337564">
      <w:bodyDiv w:val="1"/>
      <w:marLeft w:val="0"/>
      <w:marRight w:val="0"/>
      <w:marTop w:val="0"/>
      <w:marBottom w:val="0"/>
      <w:divBdr>
        <w:top w:val="none" w:sz="0" w:space="0" w:color="auto"/>
        <w:left w:val="none" w:sz="0" w:space="0" w:color="auto"/>
        <w:bottom w:val="none" w:sz="0" w:space="0" w:color="auto"/>
        <w:right w:val="none" w:sz="0" w:space="0" w:color="auto"/>
      </w:divBdr>
    </w:div>
    <w:div w:id="217323804">
      <w:bodyDiv w:val="1"/>
      <w:marLeft w:val="0"/>
      <w:marRight w:val="0"/>
      <w:marTop w:val="0"/>
      <w:marBottom w:val="0"/>
      <w:divBdr>
        <w:top w:val="none" w:sz="0" w:space="0" w:color="auto"/>
        <w:left w:val="none" w:sz="0" w:space="0" w:color="auto"/>
        <w:bottom w:val="none" w:sz="0" w:space="0" w:color="auto"/>
        <w:right w:val="none" w:sz="0" w:space="0" w:color="auto"/>
      </w:divBdr>
    </w:div>
    <w:div w:id="258374227">
      <w:bodyDiv w:val="1"/>
      <w:marLeft w:val="0"/>
      <w:marRight w:val="0"/>
      <w:marTop w:val="0"/>
      <w:marBottom w:val="0"/>
      <w:divBdr>
        <w:top w:val="none" w:sz="0" w:space="0" w:color="auto"/>
        <w:left w:val="none" w:sz="0" w:space="0" w:color="auto"/>
        <w:bottom w:val="none" w:sz="0" w:space="0" w:color="auto"/>
        <w:right w:val="none" w:sz="0" w:space="0" w:color="auto"/>
      </w:divBdr>
    </w:div>
    <w:div w:id="266545078">
      <w:bodyDiv w:val="1"/>
      <w:marLeft w:val="0"/>
      <w:marRight w:val="0"/>
      <w:marTop w:val="0"/>
      <w:marBottom w:val="0"/>
      <w:divBdr>
        <w:top w:val="none" w:sz="0" w:space="0" w:color="auto"/>
        <w:left w:val="none" w:sz="0" w:space="0" w:color="auto"/>
        <w:bottom w:val="none" w:sz="0" w:space="0" w:color="auto"/>
        <w:right w:val="none" w:sz="0" w:space="0" w:color="auto"/>
      </w:divBdr>
    </w:div>
    <w:div w:id="325937033">
      <w:bodyDiv w:val="1"/>
      <w:marLeft w:val="0"/>
      <w:marRight w:val="0"/>
      <w:marTop w:val="0"/>
      <w:marBottom w:val="0"/>
      <w:divBdr>
        <w:top w:val="none" w:sz="0" w:space="0" w:color="auto"/>
        <w:left w:val="none" w:sz="0" w:space="0" w:color="auto"/>
        <w:bottom w:val="none" w:sz="0" w:space="0" w:color="auto"/>
        <w:right w:val="none" w:sz="0" w:space="0" w:color="auto"/>
      </w:divBdr>
    </w:div>
    <w:div w:id="341008624">
      <w:bodyDiv w:val="1"/>
      <w:marLeft w:val="0"/>
      <w:marRight w:val="0"/>
      <w:marTop w:val="0"/>
      <w:marBottom w:val="0"/>
      <w:divBdr>
        <w:top w:val="none" w:sz="0" w:space="0" w:color="auto"/>
        <w:left w:val="none" w:sz="0" w:space="0" w:color="auto"/>
        <w:bottom w:val="none" w:sz="0" w:space="0" w:color="auto"/>
        <w:right w:val="none" w:sz="0" w:space="0" w:color="auto"/>
      </w:divBdr>
    </w:div>
    <w:div w:id="362554356">
      <w:bodyDiv w:val="1"/>
      <w:marLeft w:val="0"/>
      <w:marRight w:val="0"/>
      <w:marTop w:val="0"/>
      <w:marBottom w:val="0"/>
      <w:divBdr>
        <w:top w:val="none" w:sz="0" w:space="0" w:color="auto"/>
        <w:left w:val="none" w:sz="0" w:space="0" w:color="auto"/>
        <w:bottom w:val="none" w:sz="0" w:space="0" w:color="auto"/>
        <w:right w:val="none" w:sz="0" w:space="0" w:color="auto"/>
      </w:divBdr>
    </w:div>
    <w:div w:id="378014924">
      <w:bodyDiv w:val="1"/>
      <w:marLeft w:val="0"/>
      <w:marRight w:val="0"/>
      <w:marTop w:val="0"/>
      <w:marBottom w:val="0"/>
      <w:divBdr>
        <w:top w:val="none" w:sz="0" w:space="0" w:color="auto"/>
        <w:left w:val="none" w:sz="0" w:space="0" w:color="auto"/>
        <w:bottom w:val="none" w:sz="0" w:space="0" w:color="auto"/>
        <w:right w:val="none" w:sz="0" w:space="0" w:color="auto"/>
      </w:divBdr>
    </w:div>
    <w:div w:id="409085271">
      <w:bodyDiv w:val="1"/>
      <w:marLeft w:val="0"/>
      <w:marRight w:val="0"/>
      <w:marTop w:val="0"/>
      <w:marBottom w:val="0"/>
      <w:divBdr>
        <w:top w:val="none" w:sz="0" w:space="0" w:color="auto"/>
        <w:left w:val="none" w:sz="0" w:space="0" w:color="auto"/>
        <w:bottom w:val="none" w:sz="0" w:space="0" w:color="auto"/>
        <w:right w:val="none" w:sz="0" w:space="0" w:color="auto"/>
      </w:divBdr>
    </w:div>
    <w:div w:id="410586001">
      <w:bodyDiv w:val="1"/>
      <w:marLeft w:val="0"/>
      <w:marRight w:val="0"/>
      <w:marTop w:val="0"/>
      <w:marBottom w:val="0"/>
      <w:divBdr>
        <w:top w:val="none" w:sz="0" w:space="0" w:color="auto"/>
        <w:left w:val="none" w:sz="0" w:space="0" w:color="auto"/>
        <w:bottom w:val="none" w:sz="0" w:space="0" w:color="auto"/>
        <w:right w:val="none" w:sz="0" w:space="0" w:color="auto"/>
      </w:divBdr>
    </w:div>
    <w:div w:id="429860065">
      <w:bodyDiv w:val="1"/>
      <w:marLeft w:val="0"/>
      <w:marRight w:val="0"/>
      <w:marTop w:val="0"/>
      <w:marBottom w:val="0"/>
      <w:divBdr>
        <w:top w:val="none" w:sz="0" w:space="0" w:color="auto"/>
        <w:left w:val="none" w:sz="0" w:space="0" w:color="auto"/>
        <w:bottom w:val="none" w:sz="0" w:space="0" w:color="auto"/>
        <w:right w:val="none" w:sz="0" w:space="0" w:color="auto"/>
      </w:divBdr>
    </w:div>
    <w:div w:id="462190676">
      <w:bodyDiv w:val="1"/>
      <w:marLeft w:val="0"/>
      <w:marRight w:val="0"/>
      <w:marTop w:val="0"/>
      <w:marBottom w:val="0"/>
      <w:divBdr>
        <w:top w:val="none" w:sz="0" w:space="0" w:color="auto"/>
        <w:left w:val="none" w:sz="0" w:space="0" w:color="auto"/>
        <w:bottom w:val="none" w:sz="0" w:space="0" w:color="auto"/>
        <w:right w:val="none" w:sz="0" w:space="0" w:color="auto"/>
      </w:divBdr>
    </w:div>
    <w:div w:id="477458963">
      <w:bodyDiv w:val="1"/>
      <w:marLeft w:val="0"/>
      <w:marRight w:val="0"/>
      <w:marTop w:val="0"/>
      <w:marBottom w:val="0"/>
      <w:divBdr>
        <w:top w:val="none" w:sz="0" w:space="0" w:color="auto"/>
        <w:left w:val="none" w:sz="0" w:space="0" w:color="auto"/>
        <w:bottom w:val="none" w:sz="0" w:space="0" w:color="auto"/>
        <w:right w:val="none" w:sz="0" w:space="0" w:color="auto"/>
      </w:divBdr>
    </w:div>
    <w:div w:id="487987136">
      <w:bodyDiv w:val="1"/>
      <w:marLeft w:val="0"/>
      <w:marRight w:val="0"/>
      <w:marTop w:val="0"/>
      <w:marBottom w:val="0"/>
      <w:divBdr>
        <w:top w:val="none" w:sz="0" w:space="0" w:color="auto"/>
        <w:left w:val="none" w:sz="0" w:space="0" w:color="auto"/>
        <w:bottom w:val="none" w:sz="0" w:space="0" w:color="auto"/>
        <w:right w:val="none" w:sz="0" w:space="0" w:color="auto"/>
      </w:divBdr>
    </w:div>
    <w:div w:id="496573837">
      <w:bodyDiv w:val="1"/>
      <w:marLeft w:val="0"/>
      <w:marRight w:val="0"/>
      <w:marTop w:val="0"/>
      <w:marBottom w:val="0"/>
      <w:divBdr>
        <w:top w:val="none" w:sz="0" w:space="0" w:color="auto"/>
        <w:left w:val="none" w:sz="0" w:space="0" w:color="auto"/>
        <w:bottom w:val="none" w:sz="0" w:space="0" w:color="auto"/>
        <w:right w:val="none" w:sz="0" w:space="0" w:color="auto"/>
      </w:divBdr>
    </w:div>
    <w:div w:id="501238516">
      <w:bodyDiv w:val="1"/>
      <w:marLeft w:val="0"/>
      <w:marRight w:val="0"/>
      <w:marTop w:val="0"/>
      <w:marBottom w:val="0"/>
      <w:divBdr>
        <w:top w:val="none" w:sz="0" w:space="0" w:color="auto"/>
        <w:left w:val="none" w:sz="0" w:space="0" w:color="auto"/>
        <w:bottom w:val="none" w:sz="0" w:space="0" w:color="auto"/>
        <w:right w:val="none" w:sz="0" w:space="0" w:color="auto"/>
      </w:divBdr>
    </w:div>
    <w:div w:id="540365001">
      <w:bodyDiv w:val="1"/>
      <w:marLeft w:val="0"/>
      <w:marRight w:val="0"/>
      <w:marTop w:val="0"/>
      <w:marBottom w:val="0"/>
      <w:divBdr>
        <w:top w:val="none" w:sz="0" w:space="0" w:color="auto"/>
        <w:left w:val="none" w:sz="0" w:space="0" w:color="auto"/>
        <w:bottom w:val="none" w:sz="0" w:space="0" w:color="auto"/>
        <w:right w:val="none" w:sz="0" w:space="0" w:color="auto"/>
      </w:divBdr>
    </w:div>
    <w:div w:id="557403966">
      <w:bodyDiv w:val="1"/>
      <w:marLeft w:val="0"/>
      <w:marRight w:val="0"/>
      <w:marTop w:val="0"/>
      <w:marBottom w:val="0"/>
      <w:divBdr>
        <w:top w:val="none" w:sz="0" w:space="0" w:color="auto"/>
        <w:left w:val="none" w:sz="0" w:space="0" w:color="auto"/>
        <w:bottom w:val="none" w:sz="0" w:space="0" w:color="auto"/>
        <w:right w:val="none" w:sz="0" w:space="0" w:color="auto"/>
      </w:divBdr>
    </w:div>
    <w:div w:id="582489161">
      <w:bodyDiv w:val="1"/>
      <w:marLeft w:val="0"/>
      <w:marRight w:val="0"/>
      <w:marTop w:val="0"/>
      <w:marBottom w:val="0"/>
      <w:divBdr>
        <w:top w:val="none" w:sz="0" w:space="0" w:color="auto"/>
        <w:left w:val="none" w:sz="0" w:space="0" w:color="auto"/>
        <w:bottom w:val="none" w:sz="0" w:space="0" w:color="auto"/>
        <w:right w:val="none" w:sz="0" w:space="0" w:color="auto"/>
      </w:divBdr>
    </w:div>
    <w:div w:id="583799378">
      <w:bodyDiv w:val="1"/>
      <w:marLeft w:val="0"/>
      <w:marRight w:val="0"/>
      <w:marTop w:val="0"/>
      <w:marBottom w:val="0"/>
      <w:divBdr>
        <w:top w:val="none" w:sz="0" w:space="0" w:color="auto"/>
        <w:left w:val="none" w:sz="0" w:space="0" w:color="auto"/>
        <w:bottom w:val="none" w:sz="0" w:space="0" w:color="auto"/>
        <w:right w:val="none" w:sz="0" w:space="0" w:color="auto"/>
      </w:divBdr>
    </w:div>
    <w:div w:id="629170577">
      <w:bodyDiv w:val="1"/>
      <w:marLeft w:val="0"/>
      <w:marRight w:val="0"/>
      <w:marTop w:val="0"/>
      <w:marBottom w:val="0"/>
      <w:divBdr>
        <w:top w:val="none" w:sz="0" w:space="0" w:color="auto"/>
        <w:left w:val="none" w:sz="0" w:space="0" w:color="auto"/>
        <w:bottom w:val="none" w:sz="0" w:space="0" w:color="auto"/>
        <w:right w:val="none" w:sz="0" w:space="0" w:color="auto"/>
      </w:divBdr>
    </w:div>
    <w:div w:id="649096195">
      <w:bodyDiv w:val="1"/>
      <w:marLeft w:val="0"/>
      <w:marRight w:val="0"/>
      <w:marTop w:val="0"/>
      <w:marBottom w:val="0"/>
      <w:divBdr>
        <w:top w:val="none" w:sz="0" w:space="0" w:color="auto"/>
        <w:left w:val="none" w:sz="0" w:space="0" w:color="auto"/>
        <w:bottom w:val="none" w:sz="0" w:space="0" w:color="auto"/>
        <w:right w:val="none" w:sz="0" w:space="0" w:color="auto"/>
      </w:divBdr>
    </w:div>
    <w:div w:id="665014442">
      <w:bodyDiv w:val="1"/>
      <w:marLeft w:val="0"/>
      <w:marRight w:val="0"/>
      <w:marTop w:val="0"/>
      <w:marBottom w:val="0"/>
      <w:divBdr>
        <w:top w:val="none" w:sz="0" w:space="0" w:color="auto"/>
        <w:left w:val="none" w:sz="0" w:space="0" w:color="auto"/>
        <w:bottom w:val="none" w:sz="0" w:space="0" w:color="auto"/>
        <w:right w:val="none" w:sz="0" w:space="0" w:color="auto"/>
      </w:divBdr>
    </w:div>
    <w:div w:id="692807489">
      <w:bodyDiv w:val="1"/>
      <w:marLeft w:val="0"/>
      <w:marRight w:val="0"/>
      <w:marTop w:val="0"/>
      <w:marBottom w:val="0"/>
      <w:divBdr>
        <w:top w:val="none" w:sz="0" w:space="0" w:color="auto"/>
        <w:left w:val="none" w:sz="0" w:space="0" w:color="auto"/>
        <w:bottom w:val="none" w:sz="0" w:space="0" w:color="auto"/>
        <w:right w:val="none" w:sz="0" w:space="0" w:color="auto"/>
      </w:divBdr>
    </w:div>
    <w:div w:id="790438923">
      <w:bodyDiv w:val="1"/>
      <w:marLeft w:val="0"/>
      <w:marRight w:val="0"/>
      <w:marTop w:val="0"/>
      <w:marBottom w:val="0"/>
      <w:divBdr>
        <w:top w:val="none" w:sz="0" w:space="0" w:color="auto"/>
        <w:left w:val="none" w:sz="0" w:space="0" w:color="auto"/>
        <w:bottom w:val="none" w:sz="0" w:space="0" w:color="auto"/>
        <w:right w:val="none" w:sz="0" w:space="0" w:color="auto"/>
      </w:divBdr>
    </w:div>
    <w:div w:id="794639896">
      <w:bodyDiv w:val="1"/>
      <w:marLeft w:val="0"/>
      <w:marRight w:val="0"/>
      <w:marTop w:val="0"/>
      <w:marBottom w:val="0"/>
      <w:divBdr>
        <w:top w:val="none" w:sz="0" w:space="0" w:color="auto"/>
        <w:left w:val="none" w:sz="0" w:space="0" w:color="auto"/>
        <w:bottom w:val="none" w:sz="0" w:space="0" w:color="auto"/>
        <w:right w:val="none" w:sz="0" w:space="0" w:color="auto"/>
      </w:divBdr>
    </w:div>
    <w:div w:id="798693425">
      <w:bodyDiv w:val="1"/>
      <w:marLeft w:val="0"/>
      <w:marRight w:val="0"/>
      <w:marTop w:val="0"/>
      <w:marBottom w:val="0"/>
      <w:divBdr>
        <w:top w:val="none" w:sz="0" w:space="0" w:color="auto"/>
        <w:left w:val="none" w:sz="0" w:space="0" w:color="auto"/>
        <w:bottom w:val="none" w:sz="0" w:space="0" w:color="auto"/>
        <w:right w:val="none" w:sz="0" w:space="0" w:color="auto"/>
      </w:divBdr>
    </w:div>
    <w:div w:id="813988357">
      <w:bodyDiv w:val="1"/>
      <w:marLeft w:val="0"/>
      <w:marRight w:val="0"/>
      <w:marTop w:val="0"/>
      <w:marBottom w:val="0"/>
      <w:divBdr>
        <w:top w:val="none" w:sz="0" w:space="0" w:color="auto"/>
        <w:left w:val="none" w:sz="0" w:space="0" w:color="auto"/>
        <w:bottom w:val="none" w:sz="0" w:space="0" w:color="auto"/>
        <w:right w:val="none" w:sz="0" w:space="0" w:color="auto"/>
      </w:divBdr>
    </w:div>
    <w:div w:id="820314195">
      <w:bodyDiv w:val="1"/>
      <w:marLeft w:val="0"/>
      <w:marRight w:val="0"/>
      <w:marTop w:val="0"/>
      <w:marBottom w:val="0"/>
      <w:divBdr>
        <w:top w:val="none" w:sz="0" w:space="0" w:color="auto"/>
        <w:left w:val="none" w:sz="0" w:space="0" w:color="auto"/>
        <w:bottom w:val="none" w:sz="0" w:space="0" w:color="auto"/>
        <w:right w:val="none" w:sz="0" w:space="0" w:color="auto"/>
      </w:divBdr>
      <w:divsChild>
        <w:div w:id="1165130115">
          <w:marLeft w:val="454"/>
          <w:marRight w:val="0"/>
          <w:marTop w:val="0"/>
          <w:marBottom w:val="0"/>
          <w:divBdr>
            <w:top w:val="none" w:sz="0" w:space="0" w:color="auto"/>
            <w:left w:val="none" w:sz="0" w:space="0" w:color="auto"/>
            <w:bottom w:val="none" w:sz="0" w:space="0" w:color="auto"/>
            <w:right w:val="none" w:sz="0" w:space="0" w:color="auto"/>
          </w:divBdr>
        </w:div>
      </w:divsChild>
    </w:div>
    <w:div w:id="857425227">
      <w:bodyDiv w:val="1"/>
      <w:marLeft w:val="0"/>
      <w:marRight w:val="0"/>
      <w:marTop w:val="0"/>
      <w:marBottom w:val="0"/>
      <w:divBdr>
        <w:top w:val="none" w:sz="0" w:space="0" w:color="auto"/>
        <w:left w:val="none" w:sz="0" w:space="0" w:color="auto"/>
        <w:bottom w:val="none" w:sz="0" w:space="0" w:color="auto"/>
        <w:right w:val="none" w:sz="0" w:space="0" w:color="auto"/>
      </w:divBdr>
    </w:div>
    <w:div w:id="1008022706">
      <w:bodyDiv w:val="1"/>
      <w:marLeft w:val="0"/>
      <w:marRight w:val="0"/>
      <w:marTop w:val="0"/>
      <w:marBottom w:val="0"/>
      <w:divBdr>
        <w:top w:val="none" w:sz="0" w:space="0" w:color="auto"/>
        <w:left w:val="none" w:sz="0" w:space="0" w:color="auto"/>
        <w:bottom w:val="none" w:sz="0" w:space="0" w:color="auto"/>
        <w:right w:val="none" w:sz="0" w:space="0" w:color="auto"/>
      </w:divBdr>
    </w:div>
    <w:div w:id="1025256118">
      <w:bodyDiv w:val="1"/>
      <w:marLeft w:val="0"/>
      <w:marRight w:val="0"/>
      <w:marTop w:val="0"/>
      <w:marBottom w:val="0"/>
      <w:divBdr>
        <w:top w:val="none" w:sz="0" w:space="0" w:color="auto"/>
        <w:left w:val="none" w:sz="0" w:space="0" w:color="auto"/>
        <w:bottom w:val="none" w:sz="0" w:space="0" w:color="auto"/>
        <w:right w:val="none" w:sz="0" w:space="0" w:color="auto"/>
      </w:divBdr>
    </w:div>
    <w:div w:id="1110004181">
      <w:bodyDiv w:val="1"/>
      <w:marLeft w:val="0"/>
      <w:marRight w:val="0"/>
      <w:marTop w:val="0"/>
      <w:marBottom w:val="0"/>
      <w:divBdr>
        <w:top w:val="none" w:sz="0" w:space="0" w:color="auto"/>
        <w:left w:val="none" w:sz="0" w:space="0" w:color="auto"/>
        <w:bottom w:val="none" w:sz="0" w:space="0" w:color="auto"/>
        <w:right w:val="none" w:sz="0" w:space="0" w:color="auto"/>
      </w:divBdr>
    </w:div>
    <w:div w:id="1133212579">
      <w:bodyDiv w:val="1"/>
      <w:marLeft w:val="0"/>
      <w:marRight w:val="0"/>
      <w:marTop w:val="0"/>
      <w:marBottom w:val="0"/>
      <w:divBdr>
        <w:top w:val="none" w:sz="0" w:space="0" w:color="auto"/>
        <w:left w:val="none" w:sz="0" w:space="0" w:color="auto"/>
        <w:bottom w:val="none" w:sz="0" w:space="0" w:color="auto"/>
        <w:right w:val="none" w:sz="0" w:space="0" w:color="auto"/>
      </w:divBdr>
    </w:div>
    <w:div w:id="1165589485">
      <w:bodyDiv w:val="1"/>
      <w:marLeft w:val="0"/>
      <w:marRight w:val="0"/>
      <w:marTop w:val="0"/>
      <w:marBottom w:val="0"/>
      <w:divBdr>
        <w:top w:val="none" w:sz="0" w:space="0" w:color="auto"/>
        <w:left w:val="none" w:sz="0" w:space="0" w:color="auto"/>
        <w:bottom w:val="none" w:sz="0" w:space="0" w:color="auto"/>
        <w:right w:val="none" w:sz="0" w:space="0" w:color="auto"/>
      </w:divBdr>
    </w:div>
    <w:div w:id="1239362517">
      <w:bodyDiv w:val="1"/>
      <w:marLeft w:val="0"/>
      <w:marRight w:val="0"/>
      <w:marTop w:val="0"/>
      <w:marBottom w:val="0"/>
      <w:divBdr>
        <w:top w:val="none" w:sz="0" w:space="0" w:color="auto"/>
        <w:left w:val="none" w:sz="0" w:space="0" w:color="auto"/>
        <w:bottom w:val="none" w:sz="0" w:space="0" w:color="auto"/>
        <w:right w:val="none" w:sz="0" w:space="0" w:color="auto"/>
      </w:divBdr>
    </w:div>
    <w:div w:id="1254242799">
      <w:bodyDiv w:val="1"/>
      <w:marLeft w:val="0"/>
      <w:marRight w:val="0"/>
      <w:marTop w:val="0"/>
      <w:marBottom w:val="0"/>
      <w:divBdr>
        <w:top w:val="none" w:sz="0" w:space="0" w:color="auto"/>
        <w:left w:val="none" w:sz="0" w:space="0" w:color="auto"/>
        <w:bottom w:val="none" w:sz="0" w:space="0" w:color="auto"/>
        <w:right w:val="none" w:sz="0" w:space="0" w:color="auto"/>
      </w:divBdr>
    </w:div>
    <w:div w:id="1263758023">
      <w:bodyDiv w:val="1"/>
      <w:marLeft w:val="0"/>
      <w:marRight w:val="0"/>
      <w:marTop w:val="0"/>
      <w:marBottom w:val="0"/>
      <w:divBdr>
        <w:top w:val="none" w:sz="0" w:space="0" w:color="auto"/>
        <w:left w:val="none" w:sz="0" w:space="0" w:color="auto"/>
        <w:bottom w:val="none" w:sz="0" w:space="0" w:color="auto"/>
        <w:right w:val="none" w:sz="0" w:space="0" w:color="auto"/>
      </w:divBdr>
    </w:div>
    <w:div w:id="1274365331">
      <w:bodyDiv w:val="1"/>
      <w:marLeft w:val="0"/>
      <w:marRight w:val="0"/>
      <w:marTop w:val="0"/>
      <w:marBottom w:val="0"/>
      <w:divBdr>
        <w:top w:val="none" w:sz="0" w:space="0" w:color="auto"/>
        <w:left w:val="none" w:sz="0" w:space="0" w:color="auto"/>
        <w:bottom w:val="none" w:sz="0" w:space="0" w:color="auto"/>
        <w:right w:val="none" w:sz="0" w:space="0" w:color="auto"/>
      </w:divBdr>
    </w:div>
    <w:div w:id="1290476215">
      <w:bodyDiv w:val="1"/>
      <w:marLeft w:val="0"/>
      <w:marRight w:val="0"/>
      <w:marTop w:val="0"/>
      <w:marBottom w:val="0"/>
      <w:divBdr>
        <w:top w:val="none" w:sz="0" w:space="0" w:color="auto"/>
        <w:left w:val="none" w:sz="0" w:space="0" w:color="auto"/>
        <w:bottom w:val="none" w:sz="0" w:space="0" w:color="auto"/>
        <w:right w:val="none" w:sz="0" w:space="0" w:color="auto"/>
      </w:divBdr>
    </w:div>
    <w:div w:id="1337030392">
      <w:bodyDiv w:val="1"/>
      <w:marLeft w:val="0"/>
      <w:marRight w:val="0"/>
      <w:marTop w:val="0"/>
      <w:marBottom w:val="0"/>
      <w:divBdr>
        <w:top w:val="none" w:sz="0" w:space="0" w:color="auto"/>
        <w:left w:val="none" w:sz="0" w:space="0" w:color="auto"/>
        <w:bottom w:val="none" w:sz="0" w:space="0" w:color="auto"/>
        <w:right w:val="none" w:sz="0" w:space="0" w:color="auto"/>
      </w:divBdr>
    </w:div>
    <w:div w:id="1367365009">
      <w:bodyDiv w:val="1"/>
      <w:marLeft w:val="0"/>
      <w:marRight w:val="0"/>
      <w:marTop w:val="0"/>
      <w:marBottom w:val="0"/>
      <w:divBdr>
        <w:top w:val="none" w:sz="0" w:space="0" w:color="auto"/>
        <w:left w:val="none" w:sz="0" w:space="0" w:color="auto"/>
        <w:bottom w:val="none" w:sz="0" w:space="0" w:color="auto"/>
        <w:right w:val="none" w:sz="0" w:space="0" w:color="auto"/>
      </w:divBdr>
    </w:div>
    <w:div w:id="1383022440">
      <w:bodyDiv w:val="1"/>
      <w:marLeft w:val="0"/>
      <w:marRight w:val="0"/>
      <w:marTop w:val="0"/>
      <w:marBottom w:val="0"/>
      <w:divBdr>
        <w:top w:val="none" w:sz="0" w:space="0" w:color="auto"/>
        <w:left w:val="none" w:sz="0" w:space="0" w:color="auto"/>
        <w:bottom w:val="none" w:sz="0" w:space="0" w:color="auto"/>
        <w:right w:val="none" w:sz="0" w:space="0" w:color="auto"/>
      </w:divBdr>
    </w:div>
    <w:div w:id="1385717285">
      <w:bodyDiv w:val="1"/>
      <w:marLeft w:val="0"/>
      <w:marRight w:val="0"/>
      <w:marTop w:val="0"/>
      <w:marBottom w:val="0"/>
      <w:divBdr>
        <w:top w:val="none" w:sz="0" w:space="0" w:color="auto"/>
        <w:left w:val="none" w:sz="0" w:space="0" w:color="auto"/>
        <w:bottom w:val="none" w:sz="0" w:space="0" w:color="auto"/>
        <w:right w:val="none" w:sz="0" w:space="0" w:color="auto"/>
      </w:divBdr>
    </w:div>
    <w:div w:id="1420827363">
      <w:bodyDiv w:val="1"/>
      <w:marLeft w:val="0"/>
      <w:marRight w:val="0"/>
      <w:marTop w:val="0"/>
      <w:marBottom w:val="0"/>
      <w:divBdr>
        <w:top w:val="none" w:sz="0" w:space="0" w:color="auto"/>
        <w:left w:val="none" w:sz="0" w:space="0" w:color="auto"/>
        <w:bottom w:val="none" w:sz="0" w:space="0" w:color="auto"/>
        <w:right w:val="none" w:sz="0" w:space="0" w:color="auto"/>
      </w:divBdr>
    </w:div>
    <w:div w:id="1435444371">
      <w:bodyDiv w:val="1"/>
      <w:marLeft w:val="0"/>
      <w:marRight w:val="0"/>
      <w:marTop w:val="0"/>
      <w:marBottom w:val="0"/>
      <w:divBdr>
        <w:top w:val="none" w:sz="0" w:space="0" w:color="auto"/>
        <w:left w:val="none" w:sz="0" w:space="0" w:color="auto"/>
        <w:bottom w:val="none" w:sz="0" w:space="0" w:color="auto"/>
        <w:right w:val="none" w:sz="0" w:space="0" w:color="auto"/>
      </w:divBdr>
    </w:div>
    <w:div w:id="1436557026">
      <w:bodyDiv w:val="1"/>
      <w:marLeft w:val="0"/>
      <w:marRight w:val="0"/>
      <w:marTop w:val="0"/>
      <w:marBottom w:val="0"/>
      <w:divBdr>
        <w:top w:val="none" w:sz="0" w:space="0" w:color="auto"/>
        <w:left w:val="none" w:sz="0" w:space="0" w:color="auto"/>
        <w:bottom w:val="none" w:sz="0" w:space="0" w:color="auto"/>
        <w:right w:val="none" w:sz="0" w:space="0" w:color="auto"/>
      </w:divBdr>
    </w:div>
    <w:div w:id="1448348856">
      <w:bodyDiv w:val="1"/>
      <w:marLeft w:val="0"/>
      <w:marRight w:val="0"/>
      <w:marTop w:val="0"/>
      <w:marBottom w:val="0"/>
      <w:divBdr>
        <w:top w:val="none" w:sz="0" w:space="0" w:color="auto"/>
        <w:left w:val="none" w:sz="0" w:space="0" w:color="auto"/>
        <w:bottom w:val="none" w:sz="0" w:space="0" w:color="auto"/>
        <w:right w:val="none" w:sz="0" w:space="0" w:color="auto"/>
      </w:divBdr>
    </w:div>
    <w:div w:id="1470587964">
      <w:bodyDiv w:val="1"/>
      <w:marLeft w:val="0"/>
      <w:marRight w:val="0"/>
      <w:marTop w:val="0"/>
      <w:marBottom w:val="0"/>
      <w:divBdr>
        <w:top w:val="none" w:sz="0" w:space="0" w:color="auto"/>
        <w:left w:val="none" w:sz="0" w:space="0" w:color="auto"/>
        <w:bottom w:val="none" w:sz="0" w:space="0" w:color="auto"/>
        <w:right w:val="none" w:sz="0" w:space="0" w:color="auto"/>
      </w:divBdr>
    </w:div>
    <w:div w:id="1487553992">
      <w:bodyDiv w:val="1"/>
      <w:marLeft w:val="0"/>
      <w:marRight w:val="0"/>
      <w:marTop w:val="0"/>
      <w:marBottom w:val="0"/>
      <w:divBdr>
        <w:top w:val="none" w:sz="0" w:space="0" w:color="auto"/>
        <w:left w:val="none" w:sz="0" w:space="0" w:color="auto"/>
        <w:bottom w:val="none" w:sz="0" w:space="0" w:color="auto"/>
        <w:right w:val="none" w:sz="0" w:space="0" w:color="auto"/>
      </w:divBdr>
    </w:div>
    <w:div w:id="1497837219">
      <w:bodyDiv w:val="1"/>
      <w:marLeft w:val="0"/>
      <w:marRight w:val="0"/>
      <w:marTop w:val="0"/>
      <w:marBottom w:val="0"/>
      <w:divBdr>
        <w:top w:val="none" w:sz="0" w:space="0" w:color="auto"/>
        <w:left w:val="none" w:sz="0" w:space="0" w:color="auto"/>
        <w:bottom w:val="none" w:sz="0" w:space="0" w:color="auto"/>
        <w:right w:val="none" w:sz="0" w:space="0" w:color="auto"/>
      </w:divBdr>
    </w:div>
    <w:div w:id="1508329653">
      <w:bodyDiv w:val="1"/>
      <w:marLeft w:val="0"/>
      <w:marRight w:val="0"/>
      <w:marTop w:val="0"/>
      <w:marBottom w:val="0"/>
      <w:divBdr>
        <w:top w:val="none" w:sz="0" w:space="0" w:color="auto"/>
        <w:left w:val="none" w:sz="0" w:space="0" w:color="auto"/>
        <w:bottom w:val="none" w:sz="0" w:space="0" w:color="auto"/>
        <w:right w:val="none" w:sz="0" w:space="0" w:color="auto"/>
      </w:divBdr>
    </w:div>
    <w:div w:id="1521159356">
      <w:bodyDiv w:val="1"/>
      <w:marLeft w:val="0"/>
      <w:marRight w:val="0"/>
      <w:marTop w:val="0"/>
      <w:marBottom w:val="0"/>
      <w:divBdr>
        <w:top w:val="none" w:sz="0" w:space="0" w:color="auto"/>
        <w:left w:val="none" w:sz="0" w:space="0" w:color="auto"/>
        <w:bottom w:val="none" w:sz="0" w:space="0" w:color="auto"/>
        <w:right w:val="none" w:sz="0" w:space="0" w:color="auto"/>
      </w:divBdr>
    </w:div>
    <w:div w:id="1521161769">
      <w:bodyDiv w:val="1"/>
      <w:marLeft w:val="0"/>
      <w:marRight w:val="0"/>
      <w:marTop w:val="0"/>
      <w:marBottom w:val="0"/>
      <w:divBdr>
        <w:top w:val="none" w:sz="0" w:space="0" w:color="auto"/>
        <w:left w:val="none" w:sz="0" w:space="0" w:color="auto"/>
        <w:bottom w:val="none" w:sz="0" w:space="0" w:color="auto"/>
        <w:right w:val="none" w:sz="0" w:space="0" w:color="auto"/>
      </w:divBdr>
    </w:div>
    <w:div w:id="1527668364">
      <w:bodyDiv w:val="1"/>
      <w:marLeft w:val="0"/>
      <w:marRight w:val="0"/>
      <w:marTop w:val="0"/>
      <w:marBottom w:val="0"/>
      <w:divBdr>
        <w:top w:val="none" w:sz="0" w:space="0" w:color="auto"/>
        <w:left w:val="none" w:sz="0" w:space="0" w:color="auto"/>
        <w:bottom w:val="none" w:sz="0" w:space="0" w:color="auto"/>
        <w:right w:val="none" w:sz="0" w:space="0" w:color="auto"/>
      </w:divBdr>
    </w:div>
    <w:div w:id="1530142143">
      <w:bodyDiv w:val="1"/>
      <w:marLeft w:val="0"/>
      <w:marRight w:val="0"/>
      <w:marTop w:val="0"/>
      <w:marBottom w:val="0"/>
      <w:divBdr>
        <w:top w:val="none" w:sz="0" w:space="0" w:color="auto"/>
        <w:left w:val="none" w:sz="0" w:space="0" w:color="auto"/>
        <w:bottom w:val="none" w:sz="0" w:space="0" w:color="auto"/>
        <w:right w:val="none" w:sz="0" w:space="0" w:color="auto"/>
      </w:divBdr>
    </w:div>
    <w:div w:id="1546257341">
      <w:bodyDiv w:val="1"/>
      <w:marLeft w:val="0"/>
      <w:marRight w:val="0"/>
      <w:marTop w:val="0"/>
      <w:marBottom w:val="0"/>
      <w:divBdr>
        <w:top w:val="none" w:sz="0" w:space="0" w:color="auto"/>
        <w:left w:val="none" w:sz="0" w:space="0" w:color="auto"/>
        <w:bottom w:val="none" w:sz="0" w:space="0" w:color="auto"/>
        <w:right w:val="none" w:sz="0" w:space="0" w:color="auto"/>
      </w:divBdr>
    </w:div>
    <w:div w:id="1567447440">
      <w:bodyDiv w:val="1"/>
      <w:marLeft w:val="0"/>
      <w:marRight w:val="0"/>
      <w:marTop w:val="0"/>
      <w:marBottom w:val="0"/>
      <w:divBdr>
        <w:top w:val="none" w:sz="0" w:space="0" w:color="auto"/>
        <w:left w:val="none" w:sz="0" w:space="0" w:color="auto"/>
        <w:bottom w:val="none" w:sz="0" w:space="0" w:color="auto"/>
        <w:right w:val="none" w:sz="0" w:space="0" w:color="auto"/>
      </w:divBdr>
    </w:div>
    <w:div w:id="1613508640">
      <w:bodyDiv w:val="1"/>
      <w:marLeft w:val="0"/>
      <w:marRight w:val="0"/>
      <w:marTop w:val="0"/>
      <w:marBottom w:val="0"/>
      <w:divBdr>
        <w:top w:val="none" w:sz="0" w:space="0" w:color="auto"/>
        <w:left w:val="none" w:sz="0" w:space="0" w:color="auto"/>
        <w:bottom w:val="none" w:sz="0" w:space="0" w:color="auto"/>
        <w:right w:val="none" w:sz="0" w:space="0" w:color="auto"/>
      </w:divBdr>
    </w:div>
    <w:div w:id="1621182757">
      <w:bodyDiv w:val="1"/>
      <w:marLeft w:val="0"/>
      <w:marRight w:val="0"/>
      <w:marTop w:val="0"/>
      <w:marBottom w:val="0"/>
      <w:divBdr>
        <w:top w:val="none" w:sz="0" w:space="0" w:color="auto"/>
        <w:left w:val="none" w:sz="0" w:space="0" w:color="auto"/>
        <w:bottom w:val="none" w:sz="0" w:space="0" w:color="auto"/>
        <w:right w:val="none" w:sz="0" w:space="0" w:color="auto"/>
      </w:divBdr>
    </w:div>
    <w:div w:id="1633439176">
      <w:bodyDiv w:val="1"/>
      <w:marLeft w:val="0"/>
      <w:marRight w:val="0"/>
      <w:marTop w:val="0"/>
      <w:marBottom w:val="0"/>
      <w:divBdr>
        <w:top w:val="none" w:sz="0" w:space="0" w:color="auto"/>
        <w:left w:val="none" w:sz="0" w:space="0" w:color="auto"/>
        <w:bottom w:val="none" w:sz="0" w:space="0" w:color="auto"/>
        <w:right w:val="none" w:sz="0" w:space="0" w:color="auto"/>
      </w:divBdr>
    </w:div>
    <w:div w:id="1654793074">
      <w:bodyDiv w:val="1"/>
      <w:marLeft w:val="0"/>
      <w:marRight w:val="0"/>
      <w:marTop w:val="0"/>
      <w:marBottom w:val="0"/>
      <w:divBdr>
        <w:top w:val="none" w:sz="0" w:space="0" w:color="auto"/>
        <w:left w:val="none" w:sz="0" w:space="0" w:color="auto"/>
        <w:bottom w:val="none" w:sz="0" w:space="0" w:color="auto"/>
        <w:right w:val="none" w:sz="0" w:space="0" w:color="auto"/>
      </w:divBdr>
    </w:div>
    <w:div w:id="1656689417">
      <w:bodyDiv w:val="1"/>
      <w:marLeft w:val="0"/>
      <w:marRight w:val="0"/>
      <w:marTop w:val="0"/>
      <w:marBottom w:val="0"/>
      <w:divBdr>
        <w:top w:val="none" w:sz="0" w:space="0" w:color="auto"/>
        <w:left w:val="none" w:sz="0" w:space="0" w:color="auto"/>
        <w:bottom w:val="none" w:sz="0" w:space="0" w:color="auto"/>
        <w:right w:val="none" w:sz="0" w:space="0" w:color="auto"/>
      </w:divBdr>
    </w:div>
    <w:div w:id="1724986280">
      <w:bodyDiv w:val="1"/>
      <w:marLeft w:val="0"/>
      <w:marRight w:val="0"/>
      <w:marTop w:val="0"/>
      <w:marBottom w:val="0"/>
      <w:divBdr>
        <w:top w:val="none" w:sz="0" w:space="0" w:color="auto"/>
        <w:left w:val="none" w:sz="0" w:space="0" w:color="auto"/>
        <w:bottom w:val="none" w:sz="0" w:space="0" w:color="auto"/>
        <w:right w:val="none" w:sz="0" w:space="0" w:color="auto"/>
      </w:divBdr>
    </w:div>
    <w:div w:id="1736581748">
      <w:bodyDiv w:val="1"/>
      <w:marLeft w:val="0"/>
      <w:marRight w:val="0"/>
      <w:marTop w:val="0"/>
      <w:marBottom w:val="0"/>
      <w:divBdr>
        <w:top w:val="none" w:sz="0" w:space="0" w:color="auto"/>
        <w:left w:val="none" w:sz="0" w:space="0" w:color="auto"/>
        <w:bottom w:val="none" w:sz="0" w:space="0" w:color="auto"/>
        <w:right w:val="none" w:sz="0" w:space="0" w:color="auto"/>
      </w:divBdr>
    </w:div>
    <w:div w:id="1760247248">
      <w:bodyDiv w:val="1"/>
      <w:marLeft w:val="0"/>
      <w:marRight w:val="0"/>
      <w:marTop w:val="0"/>
      <w:marBottom w:val="0"/>
      <w:divBdr>
        <w:top w:val="none" w:sz="0" w:space="0" w:color="auto"/>
        <w:left w:val="none" w:sz="0" w:space="0" w:color="auto"/>
        <w:bottom w:val="none" w:sz="0" w:space="0" w:color="auto"/>
        <w:right w:val="none" w:sz="0" w:space="0" w:color="auto"/>
      </w:divBdr>
    </w:div>
    <w:div w:id="1809009562">
      <w:bodyDiv w:val="1"/>
      <w:marLeft w:val="0"/>
      <w:marRight w:val="0"/>
      <w:marTop w:val="0"/>
      <w:marBottom w:val="0"/>
      <w:divBdr>
        <w:top w:val="none" w:sz="0" w:space="0" w:color="auto"/>
        <w:left w:val="none" w:sz="0" w:space="0" w:color="auto"/>
        <w:bottom w:val="none" w:sz="0" w:space="0" w:color="auto"/>
        <w:right w:val="none" w:sz="0" w:space="0" w:color="auto"/>
      </w:divBdr>
    </w:div>
    <w:div w:id="1896697462">
      <w:bodyDiv w:val="1"/>
      <w:marLeft w:val="0"/>
      <w:marRight w:val="0"/>
      <w:marTop w:val="0"/>
      <w:marBottom w:val="0"/>
      <w:divBdr>
        <w:top w:val="none" w:sz="0" w:space="0" w:color="auto"/>
        <w:left w:val="none" w:sz="0" w:space="0" w:color="auto"/>
        <w:bottom w:val="none" w:sz="0" w:space="0" w:color="auto"/>
        <w:right w:val="none" w:sz="0" w:space="0" w:color="auto"/>
      </w:divBdr>
    </w:div>
    <w:div w:id="1977640484">
      <w:bodyDiv w:val="1"/>
      <w:marLeft w:val="0"/>
      <w:marRight w:val="0"/>
      <w:marTop w:val="0"/>
      <w:marBottom w:val="0"/>
      <w:divBdr>
        <w:top w:val="none" w:sz="0" w:space="0" w:color="auto"/>
        <w:left w:val="none" w:sz="0" w:space="0" w:color="auto"/>
        <w:bottom w:val="none" w:sz="0" w:space="0" w:color="auto"/>
        <w:right w:val="none" w:sz="0" w:space="0" w:color="auto"/>
      </w:divBdr>
    </w:div>
    <w:div w:id="2003312497">
      <w:bodyDiv w:val="1"/>
      <w:marLeft w:val="0"/>
      <w:marRight w:val="0"/>
      <w:marTop w:val="0"/>
      <w:marBottom w:val="0"/>
      <w:divBdr>
        <w:top w:val="none" w:sz="0" w:space="0" w:color="auto"/>
        <w:left w:val="none" w:sz="0" w:space="0" w:color="auto"/>
        <w:bottom w:val="none" w:sz="0" w:space="0" w:color="auto"/>
        <w:right w:val="none" w:sz="0" w:space="0" w:color="auto"/>
      </w:divBdr>
    </w:div>
    <w:div w:id="2016302111">
      <w:bodyDiv w:val="1"/>
      <w:marLeft w:val="0"/>
      <w:marRight w:val="0"/>
      <w:marTop w:val="0"/>
      <w:marBottom w:val="0"/>
      <w:divBdr>
        <w:top w:val="none" w:sz="0" w:space="0" w:color="auto"/>
        <w:left w:val="none" w:sz="0" w:space="0" w:color="auto"/>
        <w:bottom w:val="none" w:sz="0" w:space="0" w:color="auto"/>
        <w:right w:val="none" w:sz="0" w:space="0" w:color="auto"/>
      </w:divBdr>
    </w:div>
    <w:div w:id="2024622298">
      <w:bodyDiv w:val="1"/>
      <w:marLeft w:val="0"/>
      <w:marRight w:val="0"/>
      <w:marTop w:val="0"/>
      <w:marBottom w:val="0"/>
      <w:divBdr>
        <w:top w:val="none" w:sz="0" w:space="0" w:color="auto"/>
        <w:left w:val="none" w:sz="0" w:space="0" w:color="auto"/>
        <w:bottom w:val="none" w:sz="0" w:space="0" w:color="auto"/>
        <w:right w:val="none" w:sz="0" w:space="0" w:color="auto"/>
      </w:divBdr>
    </w:div>
    <w:div w:id="2053338945">
      <w:bodyDiv w:val="1"/>
      <w:marLeft w:val="0"/>
      <w:marRight w:val="0"/>
      <w:marTop w:val="0"/>
      <w:marBottom w:val="0"/>
      <w:divBdr>
        <w:top w:val="none" w:sz="0" w:space="0" w:color="auto"/>
        <w:left w:val="none" w:sz="0" w:space="0" w:color="auto"/>
        <w:bottom w:val="none" w:sz="0" w:space="0" w:color="auto"/>
        <w:right w:val="none" w:sz="0" w:space="0" w:color="auto"/>
      </w:divBdr>
    </w:div>
    <w:div w:id="2083335828">
      <w:bodyDiv w:val="1"/>
      <w:marLeft w:val="0"/>
      <w:marRight w:val="0"/>
      <w:marTop w:val="0"/>
      <w:marBottom w:val="0"/>
      <w:divBdr>
        <w:top w:val="none" w:sz="0" w:space="0" w:color="auto"/>
        <w:left w:val="none" w:sz="0" w:space="0" w:color="auto"/>
        <w:bottom w:val="none" w:sz="0" w:space="0" w:color="auto"/>
        <w:right w:val="none" w:sz="0" w:space="0" w:color="auto"/>
      </w:divBdr>
    </w:div>
    <w:div w:id="2100103000">
      <w:bodyDiv w:val="1"/>
      <w:marLeft w:val="0"/>
      <w:marRight w:val="0"/>
      <w:marTop w:val="0"/>
      <w:marBottom w:val="0"/>
      <w:divBdr>
        <w:top w:val="none" w:sz="0" w:space="0" w:color="auto"/>
        <w:left w:val="none" w:sz="0" w:space="0" w:color="auto"/>
        <w:bottom w:val="none" w:sz="0" w:space="0" w:color="auto"/>
        <w:right w:val="none" w:sz="0" w:space="0" w:color="auto"/>
      </w:divBdr>
    </w:div>
    <w:div w:id="2130468679">
      <w:bodyDiv w:val="1"/>
      <w:marLeft w:val="0"/>
      <w:marRight w:val="0"/>
      <w:marTop w:val="0"/>
      <w:marBottom w:val="0"/>
      <w:divBdr>
        <w:top w:val="none" w:sz="0" w:space="0" w:color="auto"/>
        <w:left w:val="none" w:sz="0" w:space="0" w:color="auto"/>
        <w:bottom w:val="none" w:sz="0" w:space="0" w:color="auto"/>
        <w:right w:val="none" w:sz="0" w:space="0" w:color="auto"/>
      </w:divBdr>
    </w:div>
    <w:div w:id="2143499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c0ec423-5f39-4cd1-9015-37fc60afb156">
      <Terms xmlns="http://schemas.microsoft.com/office/infopath/2007/PartnerControls"/>
    </lcf76f155ced4ddcb4097134ff3c332f>
    <Number xmlns="8c0ec423-5f39-4cd1-9015-37fc60afb156" xsi:nil="true"/>
    <TaxCatchAll xmlns="c87ab028-8257-48fa-bbf6-93c162f87ccb"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484CC30C290334F8F2D4D6AFC9A12E5" ma:contentTypeVersion="20" ma:contentTypeDescription="Create a new document." ma:contentTypeScope="" ma:versionID="562766c7c6fc5d01cc4f960654ef53bd">
  <xsd:schema xmlns:xsd="http://www.w3.org/2001/XMLSchema" xmlns:xs="http://www.w3.org/2001/XMLSchema" xmlns:p="http://schemas.microsoft.com/office/2006/metadata/properties" xmlns:ns2="c87ab028-8257-48fa-bbf6-93c162f87ccb" xmlns:ns3="8c0ec423-5f39-4cd1-9015-37fc60afb156" targetNamespace="http://schemas.microsoft.com/office/2006/metadata/properties" ma:root="true" ma:fieldsID="b4c69cb0e09ab330cd8464a81a01e82c" ns2:_="" ns3:_="">
    <xsd:import namespace="c87ab028-8257-48fa-bbf6-93c162f87ccb"/>
    <xsd:import namespace="8c0ec423-5f39-4cd1-9015-37fc60afb156"/>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3:Numbe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lcf76f155ced4ddcb4097134ff3c332f" minOccurs="0"/>
                <xsd:element ref="ns2: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7ab028-8257-48fa-bbf6-93c162f87ccb"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element name="TaxCatchAll" ma:index="26" nillable="true" ma:displayName="Taxonomy Catch All Column" ma:hidden="true" ma:list="{af84e715-a139-431f-967b-1ba19f8f2abf}" ma:internalName="TaxCatchAll" ma:showField="CatchAllData" ma:web="c87ab028-8257-48fa-bbf6-93c162f87cc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c0ec423-5f39-4cd1-9015-37fc60afb156"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AutoTags" ma:index="14" nillable="true" ma:displayName="MediaServiceAutoTags" ma:description="" ma:internalName="MediaServiceAutoTags" ma:readOnly="true">
      <xsd:simpleType>
        <xsd:restriction base="dms:Text"/>
      </xsd:simpleType>
    </xsd:element>
    <xsd:element name="MediaServiceDateTaken" ma:index="15" nillable="true" ma:displayName="MediaServiceDateTaken" ma:description="" ma:hidden="true" ma:internalName="MediaServiceDateTake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Location" ma:index="17" nillable="true" ma:displayName="MediaServiceLocation" ma:internalName="MediaServiceLocation" ma:readOnly="true">
      <xsd:simpleType>
        <xsd:restriction base="dms:Text"/>
      </xsd:simpleType>
    </xsd:element>
    <xsd:element name="Number" ma:index="18" nillable="true" ma:displayName="Number" ma:internalName="Number">
      <xsd:simpleType>
        <xsd:restriction base="dms:Number"/>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LengthInSeconds" ma:index="23" nillable="true" ma:displayName="Length (seconds)" ma:internalName="MediaLengthInSeconds" ma:readOnly="true">
      <xsd:simpleType>
        <xsd:restriction base="dms:Unknown"/>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5e3038f7-01d3-45c6-9ff3-08a5a011bcb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7"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804E7D-E344-4944-AEF6-C6A9CE25C5C8}">
  <ds:schemaRefs>
    <ds:schemaRef ds:uri="http://purl.org/dc/elements/1.1/"/>
    <ds:schemaRef ds:uri="http://schemas.microsoft.com/office/2006/metadata/properties"/>
    <ds:schemaRef ds:uri="http://schemas.microsoft.com/office/infopath/2007/PartnerControls"/>
    <ds:schemaRef ds:uri="http://schemas.microsoft.com/office/2006/documentManagement/types"/>
    <ds:schemaRef ds:uri="http://purl.org/dc/dcmitype/"/>
    <ds:schemaRef ds:uri="a99d81a8-c2eb-4d39-bffb-4a7fa7cee23c"/>
    <ds:schemaRef ds:uri="http://www.w3.org/XML/1998/namespace"/>
    <ds:schemaRef ds:uri="http://schemas.openxmlformats.org/package/2006/metadata/core-properties"/>
    <ds:schemaRef ds:uri="http://purl.org/dc/terms/"/>
  </ds:schemaRefs>
</ds:datastoreItem>
</file>

<file path=customXml/itemProps2.xml><?xml version="1.0" encoding="utf-8"?>
<ds:datastoreItem xmlns:ds="http://schemas.openxmlformats.org/officeDocument/2006/customXml" ds:itemID="{CF3B6156-9740-4D0E-B2A7-991A7DFBA459}">
  <ds:schemaRefs>
    <ds:schemaRef ds:uri="http://schemas.microsoft.com/sharepoint/v3/contenttype/forms"/>
  </ds:schemaRefs>
</ds:datastoreItem>
</file>

<file path=customXml/itemProps3.xml><?xml version="1.0" encoding="utf-8"?>
<ds:datastoreItem xmlns:ds="http://schemas.openxmlformats.org/officeDocument/2006/customXml" ds:itemID="{BB2D06C0-D478-4015-8716-6047B24CA00C}"/>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TotalTime>
  <Pages>9</Pages>
  <Words>2224</Words>
  <Characters>12681</Characters>
  <Application>Microsoft Office Word</Application>
  <DocSecurity>0</DocSecurity>
  <Lines>105</Lines>
  <Paragraphs>29</Paragraphs>
  <ScaleCrop>false</ScaleCrop>
  <Company>Microsoft</Company>
  <LinksUpToDate>false</LinksUpToDate>
  <CharactersWithSpaces>14876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COLSTON, Sarah (NHS ARDEN AND GREATER EAST MIDLANDS COMMISSIONING SUPPORT UNIT)</cp:lastModifiedBy>
  <cp:revision>3</cp:revision>
  <cp:lastPrinted>2023-06-07T18:28:00Z</cp:lastPrinted>
  <dcterms:created xsi:type="dcterms:W3CDTF">2023-06-07T18:28:00Z</dcterms:created>
  <dcterms:modified xsi:type="dcterms:W3CDTF">2023-06-07T18:28:00Z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0x010100E484CC30C290334F8F2D4D6AFC9A12E5</vt:lpwstr>
  </property>
</Properties>
</file>