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5382" w:rsidRDefault="007E538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3390"/>
        <w:gridCol w:w="2553"/>
        <w:gridCol w:w="1469"/>
        <w:gridCol w:w="1456"/>
        <w:gridCol w:w="1345"/>
        <w:gridCol w:w="1904"/>
        <w:gridCol w:w="2453"/>
      </w:tblGrid>
      <w:tr w:rsidR="00431444" w:rsidRPr="00C7466A" w:rsidTr="00231DB0">
        <w:trPr>
          <w:trHeight w:val="394"/>
        </w:trPr>
        <w:tc>
          <w:tcPr>
            <w:tcW w:w="0" w:type="auto"/>
            <w:gridSpan w:val="8"/>
            <w:shd w:val="clear" w:color="auto" w:fill="BDD6EE"/>
            <w:vAlign w:val="center"/>
          </w:tcPr>
          <w:p w:rsidR="007E5382" w:rsidRPr="00C7466A" w:rsidRDefault="00431444" w:rsidP="00C7466A">
            <w:pPr>
              <w:spacing w:after="0" w:line="240" w:lineRule="auto"/>
              <w:jc w:val="center"/>
              <w:rPr>
                <w:rFonts w:cs="Calibri"/>
                <w:b/>
                <w:szCs w:val="20"/>
              </w:rPr>
            </w:pPr>
            <w:r w:rsidRPr="00C7466A">
              <w:rPr>
                <w:rFonts w:cs="Calibri"/>
                <w:b/>
                <w:szCs w:val="20"/>
              </w:rPr>
              <w:t xml:space="preserve">Provider line of sight table </w:t>
            </w:r>
            <w:r w:rsidR="00DB28AD" w:rsidRPr="00C7466A">
              <w:rPr>
                <w:rFonts w:cs="Calibri"/>
                <w:b/>
                <w:szCs w:val="20"/>
              </w:rPr>
              <w:t xml:space="preserve">on report recommendations </w:t>
            </w:r>
            <w:r w:rsidRPr="00C7466A">
              <w:rPr>
                <w:rFonts w:cs="Calibri"/>
                <w:b/>
                <w:szCs w:val="20"/>
              </w:rPr>
              <w:t>for submission to the funders</w:t>
            </w:r>
          </w:p>
        </w:tc>
      </w:tr>
      <w:tr w:rsidR="00232B28" w:rsidRPr="00C7466A" w:rsidTr="00231DB0">
        <w:tc>
          <w:tcPr>
            <w:tcW w:w="15614" w:type="dxa"/>
            <w:gridSpan w:val="8"/>
            <w:shd w:val="clear" w:color="auto" w:fill="BDD6EE"/>
          </w:tcPr>
          <w:p w:rsidR="00232B28" w:rsidRPr="00C7466A" w:rsidRDefault="00232B28" w:rsidP="00C7466A">
            <w:pPr>
              <w:spacing w:after="0" w:line="240" w:lineRule="auto"/>
              <w:rPr>
                <w:rFonts w:cs="Calibri"/>
                <w:b/>
              </w:rPr>
            </w:pPr>
            <w:r w:rsidRPr="00C7466A">
              <w:rPr>
                <w:rFonts w:cs="Calibri"/>
                <w:b/>
              </w:rPr>
              <w:t xml:space="preserve">Please can the provider complete the following details </w:t>
            </w:r>
            <w:r w:rsidR="00BC1CB7" w:rsidRPr="00C7466A">
              <w:rPr>
                <w:rFonts w:cs="Calibri"/>
                <w:b/>
              </w:rPr>
              <w:t>to allow for ease of access and rapid review</w:t>
            </w:r>
          </w:p>
        </w:tc>
      </w:tr>
      <w:tr w:rsidR="00AE027D" w:rsidRPr="00C7466A" w:rsidTr="00FD3932">
        <w:trPr>
          <w:trHeight w:val="566"/>
        </w:trPr>
        <w:tc>
          <w:tcPr>
            <w:tcW w:w="8327" w:type="dxa"/>
            <w:gridSpan w:val="4"/>
            <w:shd w:val="clear" w:color="auto" w:fill="DEEAF6"/>
            <w:vAlign w:val="center"/>
          </w:tcPr>
          <w:p w:rsidR="00C3059E" w:rsidRDefault="00C3059E" w:rsidP="00C3059E">
            <w:pPr>
              <w:pStyle w:val="ListParagraph"/>
              <w:spacing w:after="0" w:line="240" w:lineRule="auto"/>
              <w:ind w:left="0"/>
              <w:rPr>
                <w:rFonts w:eastAsia="Times New Roman"/>
                <w:b/>
              </w:rPr>
            </w:pPr>
            <w:r>
              <w:rPr>
                <w:rFonts w:eastAsia="Times New Roman"/>
                <w:b/>
              </w:rPr>
              <w:t>Project and Title of report, i</w:t>
            </w:r>
            <w:r w:rsidRPr="00C3059E">
              <w:rPr>
                <w:rFonts w:eastAsia="Times New Roman"/>
                <w:b/>
              </w:rPr>
              <w:t>nc</w:t>
            </w:r>
            <w:r>
              <w:rPr>
                <w:rFonts w:eastAsia="Times New Roman"/>
                <w:b/>
              </w:rPr>
              <w:t>luding HQIP REF</w:t>
            </w:r>
          </w:p>
          <w:p w:rsidR="00C3059E" w:rsidRPr="00C3059E" w:rsidRDefault="00C3059E" w:rsidP="00C3059E">
            <w:pPr>
              <w:pStyle w:val="ListParagraph"/>
              <w:spacing w:after="0" w:line="240" w:lineRule="auto"/>
              <w:ind w:left="0"/>
              <w:rPr>
                <w:rFonts w:eastAsia="Times New Roman"/>
                <w:b/>
              </w:rPr>
            </w:pPr>
            <w:r w:rsidRPr="00C3059E">
              <w:rPr>
                <w:rFonts w:eastAsia="Times New Roman"/>
                <w:b/>
                <w:i/>
              </w:rPr>
              <w:t>e.g. REF XX, Project and Report title</w:t>
            </w:r>
          </w:p>
        </w:tc>
        <w:tc>
          <w:tcPr>
            <w:tcW w:w="7287" w:type="dxa"/>
            <w:gridSpan w:val="4"/>
            <w:shd w:val="clear" w:color="auto" w:fill="F2F2F2"/>
          </w:tcPr>
          <w:p w:rsidR="00C3059E" w:rsidRPr="00C7466A" w:rsidRDefault="004E0774" w:rsidP="00C7466A">
            <w:pPr>
              <w:spacing w:after="0" w:line="240" w:lineRule="auto"/>
              <w:rPr>
                <w:rFonts w:cs="Calibri"/>
                <w:b/>
              </w:rPr>
            </w:pPr>
            <w:r>
              <w:rPr>
                <w:b/>
                <w:sz w:val="24"/>
                <w:szCs w:val="24"/>
              </w:rPr>
              <w:t>National Adult Cardiac Surgery Audit (NASCA) 202</w:t>
            </w:r>
            <w:r w:rsidR="00231DB0">
              <w:rPr>
                <w:b/>
                <w:sz w:val="24"/>
                <w:szCs w:val="24"/>
              </w:rPr>
              <w:t>2</w:t>
            </w:r>
            <w:r>
              <w:rPr>
                <w:b/>
                <w:sz w:val="24"/>
                <w:szCs w:val="24"/>
              </w:rPr>
              <w:t xml:space="preserve"> Summary Report (on 201</w:t>
            </w:r>
            <w:r w:rsidR="00231DB0">
              <w:rPr>
                <w:b/>
                <w:sz w:val="24"/>
                <w:szCs w:val="24"/>
              </w:rPr>
              <w:t>8</w:t>
            </w:r>
            <w:r>
              <w:rPr>
                <w:b/>
                <w:sz w:val="24"/>
                <w:szCs w:val="24"/>
              </w:rPr>
              <w:t>/</w:t>
            </w:r>
            <w:r w:rsidR="00231DB0">
              <w:rPr>
                <w:b/>
                <w:sz w:val="24"/>
                <w:szCs w:val="24"/>
              </w:rPr>
              <w:t>21</w:t>
            </w:r>
            <w:r>
              <w:rPr>
                <w:b/>
                <w:sz w:val="24"/>
                <w:szCs w:val="24"/>
              </w:rPr>
              <w:t xml:space="preserve"> data)</w:t>
            </w:r>
          </w:p>
        </w:tc>
      </w:tr>
      <w:tr w:rsidR="00AE027D" w:rsidRPr="00C7466A" w:rsidTr="00FD3932">
        <w:trPr>
          <w:trHeight w:val="140"/>
        </w:trPr>
        <w:tc>
          <w:tcPr>
            <w:tcW w:w="8327" w:type="dxa"/>
            <w:gridSpan w:val="4"/>
            <w:shd w:val="clear" w:color="auto" w:fill="DEEAF6"/>
          </w:tcPr>
          <w:p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 xml:space="preserve">What </w:t>
            </w:r>
            <w:r w:rsidR="00BC1CB7" w:rsidRPr="00C7466A">
              <w:rPr>
                <w:rFonts w:eastAsia="Times New Roman"/>
              </w:rPr>
              <w:t>is the</w:t>
            </w:r>
            <w:r w:rsidRPr="00C7466A">
              <w:rPr>
                <w:rFonts w:eastAsia="Times New Roman"/>
              </w:rPr>
              <w:t xml:space="preserve"> report looking at/what </w:t>
            </w:r>
            <w:r w:rsidR="00DF7380" w:rsidRPr="00C7466A">
              <w:rPr>
                <w:rFonts w:eastAsia="Times New Roman"/>
              </w:rPr>
              <w:t>is the project</w:t>
            </w:r>
            <w:r w:rsidRPr="00C7466A">
              <w:rPr>
                <w:rFonts w:eastAsia="Times New Roman"/>
              </w:rPr>
              <w:t xml:space="preserve"> measuring</w:t>
            </w:r>
            <w:r w:rsidR="00BC1CB7" w:rsidRPr="00C7466A">
              <w:rPr>
                <w:rFonts w:eastAsia="Times New Roman"/>
              </w:rPr>
              <w:t>?</w:t>
            </w:r>
          </w:p>
          <w:p w:rsidR="00BC1CB7" w:rsidRPr="00C7466A" w:rsidRDefault="00BC1CB7" w:rsidP="00C7466A">
            <w:pPr>
              <w:pStyle w:val="ListParagraph"/>
              <w:spacing w:after="0" w:line="240" w:lineRule="auto"/>
              <w:rPr>
                <w:rFonts w:cs="Calibri"/>
                <w:b/>
              </w:rPr>
            </w:pPr>
          </w:p>
        </w:tc>
        <w:tc>
          <w:tcPr>
            <w:tcW w:w="7287" w:type="dxa"/>
            <w:gridSpan w:val="4"/>
            <w:shd w:val="clear" w:color="auto" w:fill="F2F2F2"/>
          </w:tcPr>
          <w:p w:rsidR="00232B28" w:rsidRPr="00C7466A" w:rsidRDefault="004E0774" w:rsidP="00C7466A">
            <w:pPr>
              <w:spacing w:after="0" w:line="240" w:lineRule="auto"/>
              <w:rPr>
                <w:rFonts w:cs="Calibri"/>
                <w:b/>
              </w:rPr>
            </w:pPr>
            <w:r>
              <w:rPr>
                <w:b/>
                <w:sz w:val="24"/>
                <w:szCs w:val="24"/>
              </w:rPr>
              <w:t>National Adult Cardiac Surgery Audit (NASCA)</w:t>
            </w:r>
          </w:p>
        </w:tc>
      </w:tr>
      <w:tr w:rsidR="00AE027D" w:rsidRPr="00C7466A" w:rsidTr="00FD3932">
        <w:trPr>
          <w:trHeight w:val="220"/>
        </w:trPr>
        <w:tc>
          <w:tcPr>
            <w:tcW w:w="8327" w:type="dxa"/>
            <w:gridSpan w:val="4"/>
            <w:shd w:val="clear" w:color="auto" w:fill="DEEAF6"/>
          </w:tcPr>
          <w:p w:rsidR="00232B28" w:rsidRPr="00C7466A" w:rsidRDefault="00232B28" w:rsidP="00C7466A">
            <w:pPr>
              <w:pStyle w:val="ListParagraph"/>
              <w:numPr>
                <w:ilvl w:val="0"/>
                <w:numId w:val="4"/>
              </w:numPr>
              <w:spacing w:after="0" w:line="240" w:lineRule="auto"/>
              <w:rPr>
                <w:rFonts w:cs="Calibri"/>
                <w:b/>
              </w:rPr>
            </w:pPr>
            <w:r w:rsidRPr="00C7466A">
              <w:rPr>
                <w:rFonts w:eastAsia="Times New Roman"/>
              </w:rPr>
              <w:t>What countries are covered</w:t>
            </w:r>
            <w:r w:rsidR="00BC1CB7" w:rsidRPr="00C7466A">
              <w:rPr>
                <w:rFonts w:eastAsia="Times New Roman"/>
              </w:rPr>
              <w:t>?</w:t>
            </w:r>
          </w:p>
          <w:p w:rsidR="00BC1CB7" w:rsidRPr="00C7466A" w:rsidRDefault="00BC1CB7" w:rsidP="00C7466A">
            <w:pPr>
              <w:pStyle w:val="ListParagraph"/>
              <w:spacing w:after="0" w:line="240" w:lineRule="auto"/>
              <w:rPr>
                <w:rFonts w:cs="Calibri"/>
                <w:b/>
              </w:rPr>
            </w:pPr>
          </w:p>
        </w:tc>
        <w:tc>
          <w:tcPr>
            <w:tcW w:w="7287" w:type="dxa"/>
            <w:gridSpan w:val="4"/>
            <w:shd w:val="clear" w:color="auto" w:fill="F2F2F2"/>
          </w:tcPr>
          <w:p w:rsidR="00232B28" w:rsidRPr="00C7466A" w:rsidRDefault="004E0774" w:rsidP="008E3DC2">
            <w:pPr>
              <w:tabs>
                <w:tab w:val="left" w:pos="1155"/>
              </w:tabs>
              <w:spacing w:after="0" w:line="240" w:lineRule="auto"/>
              <w:rPr>
                <w:rFonts w:cs="Calibri"/>
                <w:b/>
              </w:rPr>
            </w:pPr>
            <w:r w:rsidRPr="00FD3932">
              <w:rPr>
                <w:rFonts w:cs="Calibri"/>
                <w:b/>
              </w:rPr>
              <w:t>UK (</w:t>
            </w:r>
            <w:r w:rsidR="008E3DC2" w:rsidRPr="00FD3932">
              <w:rPr>
                <w:rFonts w:cs="Calibri"/>
                <w:b/>
              </w:rPr>
              <w:t>England, Wales and Northern Ireland only</w:t>
            </w:r>
            <w:r w:rsidRPr="00FD3932">
              <w:rPr>
                <w:rFonts w:cs="Calibri"/>
                <w:b/>
              </w:rPr>
              <w:t>)</w:t>
            </w:r>
          </w:p>
        </w:tc>
      </w:tr>
      <w:tr w:rsidR="00AE027D" w:rsidRPr="00C7466A" w:rsidTr="00FD3932">
        <w:trPr>
          <w:trHeight w:val="220"/>
        </w:trPr>
        <w:tc>
          <w:tcPr>
            <w:tcW w:w="8327"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 xml:space="preserve">The number of previous </w:t>
            </w:r>
            <w:r w:rsidR="00DF7380" w:rsidRPr="00C7466A">
              <w:rPr>
                <w:rFonts w:eastAsia="Times New Roman"/>
              </w:rPr>
              <w:t>project</w:t>
            </w:r>
            <w:r w:rsidRPr="00C7466A">
              <w:rPr>
                <w:rFonts w:eastAsia="Times New Roman"/>
              </w:rPr>
              <w:t>s (e.g. whether it is the 4</w:t>
            </w:r>
            <w:r w:rsidRPr="00C7466A">
              <w:rPr>
                <w:rFonts w:eastAsia="Times New Roman"/>
                <w:vertAlign w:val="superscript"/>
              </w:rPr>
              <w:t>th</w:t>
            </w:r>
            <w:r w:rsidRPr="00C7466A">
              <w:rPr>
                <w:rFonts w:eastAsia="Times New Roman"/>
              </w:rPr>
              <w:t xml:space="preserve"> </w:t>
            </w:r>
            <w:r w:rsidR="00DF7380" w:rsidRPr="00C7466A">
              <w:rPr>
                <w:rFonts w:eastAsia="Times New Roman"/>
              </w:rPr>
              <w:t>project</w:t>
            </w:r>
            <w:r w:rsidRPr="00C7466A">
              <w:rPr>
                <w:rFonts w:eastAsia="Times New Roman"/>
              </w:rPr>
              <w:t xml:space="preserve"> or if it is a continuous </w:t>
            </w:r>
            <w:r w:rsidR="00DF7380" w:rsidRPr="00C7466A">
              <w:rPr>
                <w:rFonts w:eastAsia="Times New Roman"/>
              </w:rPr>
              <w:t>project</w:t>
            </w:r>
            <w:r w:rsidRPr="00C7466A">
              <w:rPr>
                <w:rFonts w:eastAsia="Times New Roman"/>
              </w:rPr>
              <w:t>)</w:t>
            </w:r>
          </w:p>
          <w:p w:rsidR="00BC1CB7" w:rsidRPr="00C7466A" w:rsidRDefault="00BC1CB7" w:rsidP="00C7466A">
            <w:pPr>
              <w:spacing w:after="0" w:line="240" w:lineRule="auto"/>
              <w:ind w:left="720"/>
              <w:rPr>
                <w:rFonts w:cs="Calibri"/>
                <w:b/>
              </w:rPr>
            </w:pPr>
          </w:p>
        </w:tc>
        <w:tc>
          <w:tcPr>
            <w:tcW w:w="7287" w:type="dxa"/>
            <w:gridSpan w:val="4"/>
            <w:shd w:val="clear" w:color="auto" w:fill="F2F2F2"/>
          </w:tcPr>
          <w:p w:rsidR="00232B28" w:rsidRPr="00C7466A" w:rsidRDefault="004E0774" w:rsidP="00C7466A">
            <w:pPr>
              <w:spacing w:after="0" w:line="240" w:lineRule="auto"/>
              <w:rPr>
                <w:rFonts w:cs="Calibri"/>
                <w:b/>
              </w:rPr>
            </w:pPr>
            <w:r>
              <w:rPr>
                <w:rFonts w:cs="Calibri"/>
                <w:b/>
              </w:rPr>
              <w:t>Continuous</w:t>
            </w:r>
          </w:p>
        </w:tc>
      </w:tr>
      <w:tr w:rsidR="00AE027D" w:rsidRPr="00C7466A" w:rsidTr="00FD3932">
        <w:trPr>
          <w:trHeight w:val="220"/>
        </w:trPr>
        <w:tc>
          <w:tcPr>
            <w:tcW w:w="8327"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The date the data is related to (please include the start and end points – e.g. from 1 January 2016 to 1 October 2016)</w:t>
            </w:r>
          </w:p>
          <w:p w:rsidR="00BC1CB7" w:rsidRPr="00C7466A" w:rsidRDefault="00BC1CB7" w:rsidP="00C7466A">
            <w:pPr>
              <w:spacing w:after="0" w:line="240" w:lineRule="auto"/>
              <w:ind w:left="720"/>
              <w:rPr>
                <w:rFonts w:cs="Calibri"/>
                <w:b/>
              </w:rPr>
            </w:pPr>
          </w:p>
        </w:tc>
        <w:tc>
          <w:tcPr>
            <w:tcW w:w="7287" w:type="dxa"/>
            <w:gridSpan w:val="4"/>
            <w:shd w:val="clear" w:color="auto" w:fill="F2F2F2"/>
          </w:tcPr>
          <w:p w:rsidR="00232B28" w:rsidRPr="00C7466A" w:rsidRDefault="004E0774" w:rsidP="00C7466A">
            <w:pPr>
              <w:spacing w:after="0" w:line="240" w:lineRule="auto"/>
              <w:rPr>
                <w:rFonts w:cs="Calibri"/>
                <w:b/>
              </w:rPr>
            </w:pPr>
            <w:r>
              <w:rPr>
                <w:rFonts w:cs="Calibri"/>
                <w:b/>
              </w:rPr>
              <w:t>1</w:t>
            </w:r>
            <w:r w:rsidRPr="004E0774">
              <w:rPr>
                <w:rFonts w:cs="Calibri"/>
                <w:b/>
                <w:vertAlign w:val="superscript"/>
              </w:rPr>
              <w:t>st</w:t>
            </w:r>
            <w:r>
              <w:rPr>
                <w:rFonts w:cs="Calibri"/>
                <w:b/>
              </w:rPr>
              <w:t xml:space="preserve"> April 201</w:t>
            </w:r>
            <w:r w:rsidR="00231DB0">
              <w:rPr>
                <w:rFonts w:cs="Calibri"/>
                <w:b/>
              </w:rPr>
              <w:t>8</w:t>
            </w:r>
            <w:r>
              <w:rPr>
                <w:rFonts w:cs="Calibri"/>
                <w:b/>
              </w:rPr>
              <w:t xml:space="preserve"> to 31</w:t>
            </w:r>
            <w:r w:rsidRPr="004E0774">
              <w:rPr>
                <w:rFonts w:cs="Calibri"/>
                <w:b/>
                <w:vertAlign w:val="superscript"/>
              </w:rPr>
              <w:t>st</w:t>
            </w:r>
            <w:r>
              <w:rPr>
                <w:rFonts w:cs="Calibri"/>
                <w:b/>
              </w:rPr>
              <w:t xml:space="preserve"> March 20</w:t>
            </w:r>
            <w:r w:rsidR="00231DB0">
              <w:rPr>
                <w:rFonts w:cs="Calibri"/>
                <w:b/>
              </w:rPr>
              <w:t>21</w:t>
            </w:r>
          </w:p>
        </w:tc>
      </w:tr>
      <w:tr w:rsidR="00AE027D" w:rsidRPr="00C7466A" w:rsidTr="00FD3932">
        <w:trPr>
          <w:trHeight w:val="220"/>
        </w:trPr>
        <w:tc>
          <w:tcPr>
            <w:tcW w:w="8327" w:type="dxa"/>
            <w:gridSpan w:val="4"/>
            <w:shd w:val="clear" w:color="auto" w:fill="DEEAF6"/>
          </w:tcPr>
          <w:p w:rsidR="00232B28" w:rsidRPr="00C7466A" w:rsidRDefault="00232B28" w:rsidP="00C7466A">
            <w:pPr>
              <w:numPr>
                <w:ilvl w:val="0"/>
                <w:numId w:val="4"/>
              </w:numPr>
              <w:spacing w:after="0" w:line="240" w:lineRule="auto"/>
              <w:rPr>
                <w:rFonts w:cs="Calibri"/>
                <w:b/>
              </w:rPr>
            </w:pPr>
            <w:r w:rsidRPr="00C7466A">
              <w:rPr>
                <w:rFonts w:eastAsia="Times New Roman"/>
              </w:rPr>
              <w:t xml:space="preserve">Any links to NHS England/NHS Improvement objectives or </w:t>
            </w:r>
            <w:r w:rsidR="00BC1CB7" w:rsidRPr="00C7466A">
              <w:rPr>
                <w:rFonts w:eastAsia="Times New Roman"/>
              </w:rPr>
              <w:t xml:space="preserve">professional </w:t>
            </w:r>
            <w:r w:rsidRPr="00C7466A">
              <w:rPr>
                <w:rFonts w:eastAsia="Times New Roman"/>
              </w:rPr>
              <w:t>work-plans (only if you are aware of any)</w:t>
            </w:r>
          </w:p>
          <w:p w:rsidR="00BC1CB7" w:rsidRPr="00C7466A" w:rsidRDefault="00BC1CB7" w:rsidP="00C7466A">
            <w:pPr>
              <w:spacing w:after="0" w:line="240" w:lineRule="auto"/>
              <w:ind w:left="720"/>
              <w:rPr>
                <w:rFonts w:cs="Calibri"/>
                <w:b/>
              </w:rPr>
            </w:pPr>
          </w:p>
        </w:tc>
        <w:tc>
          <w:tcPr>
            <w:tcW w:w="7287" w:type="dxa"/>
            <w:gridSpan w:val="4"/>
            <w:shd w:val="clear" w:color="auto" w:fill="F2F2F2"/>
          </w:tcPr>
          <w:p w:rsidR="00232B28" w:rsidRPr="00C7466A" w:rsidRDefault="00232B28" w:rsidP="00C7466A">
            <w:pPr>
              <w:spacing w:after="0" w:line="240" w:lineRule="auto"/>
              <w:rPr>
                <w:rFonts w:cs="Calibri"/>
                <w:b/>
              </w:rPr>
            </w:pPr>
          </w:p>
        </w:tc>
      </w:tr>
      <w:tr w:rsidR="00232B28" w:rsidRPr="00C7466A" w:rsidTr="00231DB0">
        <w:tc>
          <w:tcPr>
            <w:tcW w:w="15614" w:type="dxa"/>
            <w:gridSpan w:val="8"/>
            <w:shd w:val="clear" w:color="auto" w:fill="BDD6EE"/>
          </w:tcPr>
          <w:p w:rsidR="00232B28" w:rsidRPr="00C7466A" w:rsidRDefault="00232B28" w:rsidP="00C7466A">
            <w:pPr>
              <w:spacing w:after="0" w:line="240" w:lineRule="auto"/>
              <w:rPr>
                <w:rFonts w:cs="Calibri"/>
                <w:b/>
              </w:rPr>
            </w:pPr>
            <w:r w:rsidRPr="00C7466A">
              <w:rPr>
                <w:rFonts w:cs="Calibri"/>
                <w:b/>
              </w:rPr>
              <w:t>Please can the provider complete the below for each recommendation in the report</w:t>
            </w:r>
          </w:p>
        </w:tc>
      </w:tr>
      <w:tr w:rsidR="00D06997" w:rsidRPr="00C7466A" w:rsidTr="00FD3932">
        <w:tc>
          <w:tcPr>
            <w:tcW w:w="817" w:type="dxa"/>
            <w:shd w:val="clear" w:color="auto" w:fill="DEEAF6"/>
          </w:tcPr>
          <w:p w:rsidR="00431444" w:rsidRPr="00C7466A" w:rsidRDefault="00897779" w:rsidP="00C7466A">
            <w:pPr>
              <w:spacing w:after="0" w:line="240" w:lineRule="auto"/>
              <w:rPr>
                <w:rFonts w:cs="Calibri"/>
                <w:b/>
              </w:rPr>
            </w:pPr>
            <w:r w:rsidRPr="00C7466A">
              <w:br w:type="page"/>
            </w:r>
            <w:r w:rsidR="00431444" w:rsidRPr="00C7466A">
              <w:rPr>
                <w:rFonts w:cs="Calibri"/>
                <w:b/>
              </w:rPr>
              <w:t>No</w:t>
            </w:r>
            <w:r w:rsidR="00BF4322" w:rsidRPr="00C7466A">
              <w:rPr>
                <w:rFonts w:cs="Calibri"/>
                <w:b/>
              </w:rPr>
              <w:t>.</w:t>
            </w:r>
          </w:p>
        </w:tc>
        <w:tc>
          <w:tcPr>
            <w:tcW w:w="3390" w:type="dxa"/>
            <w:shd w:val="clear" w:color="auto" w:fill="DEEAF6"/>
          </w:tcPr>
          <w:p w:rsidR="00431444" w:rsidRPr="00C7466A" w:rsidRDefault="00431444" w:rsidP="00C7466A">
            <w:pPr>
              <w:spacing w:after="0" w:line="240" w:lineRule="auto"/>
              <w:rPr>
                <w:rFonts w:cs="Calibri"/>
                <w:b/>
              </w:rPr>
            </w:pPr>
            <w:r w:rsidRPr="00C7466A">
              <w:rPr>
                <w:rFonts w:cs="Calibri"/>
                <w:b/>
              </w:rPr>
              <w:t>Recommendation</w:t>
            </w:r>
          </w:p>
        </w:tc>
        <w:tc>
          <w:tcPr>
            <w:tcW w:w="0" w:type="auto"/>
            <w:shd w:val="clear" w:color="auto" w:fill="DEEAF6"/>
          </w:tcPr>
          <w:p w:rsidR="00431444" w:rsidRPr="00C7466A" w:rsidRDefault="00431444" w:rsidP="00C7466A">
            <w:pPr>
              <w:spacing w:after="0" w:line="240" w:lineRule="auto"/>
              <w:rPr>
                <w:rFonts w:cs="Calibri"/>
                <w:b/>
              </w:rPr>
            </w:pPr>
            <w:r w:rsidRPr="00C7466A">
              <w:rPr>
                <w:rFonts w:cs="Calibri"/>
                <w:b/>
              </w:rPr>
              <w:t xml:space="preserve">Evidence </w:t>
            </w:r>
            <w:r w:rsidR="00DB28AD" w:rsidRPr="00C7466A">
              <w:rPr>
                <w:rFonts w:cs="Calibri"/>
                <w:b/>
              </w:rPr>
              <w:t xml:space="preserve">in the report which </w:t>
            </w:r>
            <w:r w:rsidRPr="00C7466A">
              <w:rPr>
                <w:rFonts w:cs="Calibri"/>
                <w:b/>
              </w:rPr>
              <w:t>underpin</w:t>
            </w:r>
            <w:r w:rsidR="00DB28AD" w:rsidRPr="00C7466A">
              <w:rPr>
                <w:rFonts w:cs="Calibri"/>
                <w:b/>
              </w:rPr>
              <w:t>s</w:t>
            </w:r>
            <w:r w:rsidRPr="00C7466A">
              <w:rPr>
                <w:rFonts w:cs="Calibri"/>
                <w:b/>
              </w:rPr>
              <w:t xml:space="preserve"> the recommendation</w:t>
            </w:r>
          </w:p>
        </w:tc>
        <w:tc>
          <w:tcPr>
            <w:tcW w:w="0" w:type="auto"/>
            <w:gridSpan w:val="2"/>
            <w:shd w:val="clear" w:color="auto" w:fill="DEEAF6"/>
          </w:tcPr>
          <w:p w:rsidR="00431444" w:rsidRPr="00C7466A" w:rsidRDefault="00431444" w:rsidP="00C7466A">
            <w:pPr>
              <w:spacing w:after="0" w:line="240" w:lineRule="auto"/>
              <w:rPr>
                <w:rFonts w:cs="Calibri"/>
                <w:b/>
              </w:rPr>
            </w:pPr>
            <w:r w:rsidRPr="00C7466A">
              <w:rPr>
                <w:rFonts w:cs="Calibri"/>
                <w:b/>
              </w:rPr>
              <w:t xml:space="preserve">Current national </w:t>
            </w:r>
            <w:r w:rsidR="00C7466A" w:rsidRPr="00C7466A">
              <w:rPr>
                <w:rFonts w:cs="Calibri"/>
                <w:b/>
              </w:rPr>
              <w:t xml:space="preserve">audit </w:t>
            </w:r>
            <w:r w:rsidRPr="00C7466A">
              <w:rPr>
                <w:rFonts w:cs="Calibri"/>
                <w:b/>
              </w:rPr>
              <w:t>benchmarking standard if there is one</w:t>
            </w:r>
            <w:r w:rsidR="00C7466A" w:rsidRPr="00C7466A">
              <w:rPr>
                <w:rFonts w:cs="Calibri"/>
                <w:b/>
              </w:rPr>
              <w:t xml:space="preserve"> </w:t>
            </w:r>
          </w:p>
        </w:tc>
        <w:tc>
          <w:tcPr>
            <w:tcW w:w="0" w:type="auto"/>
            <w:shd w:val="clear" w:color="auto" w:fill="DEEAF6"/>
          </w:tcPr>
          <w:p w:rsidR="00431444" w:rsidRPr="00C7466A" w:rsidRDefault="00FC36C9" w:rsidP="00C7466A">
            <w:pPr>
              <w:spacing w:after="0" w:line="240" w:lineRule="auto"/>
              <w:rPr>
                <w:rFonts w:cs="Calibri"/>
                <w:b/>
              </w:rPr>
            </w:pPr>
            <w:r w:rsidRPr="00C7466A">
              <w:rPr>
                <w:b/>
              </w:rPr>
              <w:t>Associated NHS payment levers or incentives’</w:t>
            </w:r>
          </w:p>
        </w:tc>
        <w:tc>
          <w:tcPr>
            <w:tcW w:w="0" w:type="auto"/>
            <w:shd w:val="clear" w:color="auto" w:fill="DEEAF6"/>
          </w:tcPr>
          <w:p w:rsidR="00431444" w:rsidRPr="00C7466A" w:rsidRDefault="00C7466A" w:rsidP="00C7466A">
            <w:pPr>
              <w:spacing w:after="0" w:line="240" w:lineRule="auto"/>
              <w:rPr>
                <w:rFonts w:cs="Calibri"/>
                <w:b/>
              </w:rPr>
            </w:pPr>
            <w:r w:rsidRPr="00C7466A">
              <w:rPr>
                <w:rFonts w:cs="Calibri"/>
                <w:b/>
              </w:rPr>
              <w:t xml:space="preserve">Guidance available (for example, </w:t>
            </w:r>
            <w:r w:rsidR="00431444" w:rsidRPr="00C7466A">
              <w:rPr>
                <w:rFonts w:cs="Calibri"/>
                <w:b/>
              </w:rPr>
              <w:t>NICE guideline)</w:t>
            </w:r>
          </w:p>
        </w:tc>
        <w:tc>
          <w:tcPr>
            <w:tcW w:w="0" w:type="auto"/>
            <w:shd w:val="clear" w:color="auto" w:fill="DEEAF6"/>
          </w:tcPr>
          <w:p w:rsidR="00431444" w:rsidRPr="00C7466A" w:rsidRDefault="00FC36C9" w:rsidP="00C7466A">
            <w:pPr>
              <w:spacing w:after="0" w:line="240" w:lineRule="auto"/>
              <w:rPr>
                <w:rFonts w:cs="Calibri"/>
                <w:b/>
              </w:rPr>
            </w:pPr>
            <w:r w:rsidRPr="00C7466A">
              <w:rPr>
                <w:rFonts w:cs="Calibri"/>
                <w:b/>
              </w:rPr>
              <w:t xml:space="preserve">% </w:t>
            </w:r>
            <w:r w:rsidR="00DF7380" w:rsidRPr="00C7466A">
              <w:rPr>
                <w:rFonts w:cs="Calibri"/>
                <w:b/>
              </w:rPr>
              <w:t>project</w:t>
            </w:r>
            <w:r w:rsidRPr="00C7466A">
              <w:rPr>
                <w:rFonts w:cs="Calibri"/>
                <w:b/>
              </w:rPr>
              <w:t xml:space="preserve"> r</w:t>
            </w:r>
            <w:r w:rsidR="00431444" w:rsidRPr="00C7466A">
              <w:rPr>
                <w:rFonts w:cs="Calibri"/>
                <w:b/>
              </w:rPr>
              <w:t>esult if the question previously asked</w:t>
            </w:r>
            <w:r w:rsidRPr="00C7466A">
              <w:rPr>
                <w:rFonts w:cs="Calibri"/>
                <w:b/>
              </w:rPr>
              <w:t xml:space="preserve"> by the </w:t>
            </w:r>
            <w:r w:rsidR="00DF7380" w:rsidRPr="00C7466A">
              <w:rPr>
                <w:rFonts w:cs="Calibri"/>
                <w:b/>
              </w:rPr>
              <w:t>project</w:t>
            </w:r>
            <w:r w:rsidR="00431444" w:rsidRPr="00C7466A">
              <w:rPr>
                <w:rFonts w:cs="Calibri"/>
                <w:b/>
              </w:rPr>
              <w:t xml:space="preserve"> (date asked and result).  If not asked before please denote N/A</w:t>
            </w:r>
            <w:r w:rsidRPr="00C7466A">
              <w:rPr>
                <w:rFonts w:cs="Calibri"/>
                <w:b/>
              </w:rPr>
              <w:t xml:space="preserve">.  This is so that </w:t>
            </w:r>
            <w:r w:rsidR="00BC1CB7" w:rsidRPr="00C7466A">
              <w:rPr>
                <w:rFonts w:cs="Calibri"/>
                <w:b/>
              </w:rPr>
              <w:t>there is</w:t>
            </w:r>
            <w:r w:rsidRPr="00C7466A">
              <w:rPr>
                <w:rFonts w:cs="Calibri"/>
                <w:b/>
              </w:rPr>
              <w:t xml:space="preserve"> an indication of whether the result has increased or decreased and over what period of time</w:t>
            </w:r>
          </w:p>
        </w:tc>
      </w:tr>
      <w:tr w:rsidR="00D06997" w:rsidRPr="00C7466A" w:rsidTr="00FD3932">
        <w:tc>
          <w:tcPr>
            <w:tcW w:w="817" w:type="dxa"/>
            <w:shd w:val="clear" w:color="auto" w:fill="auto"/>
          </w:tcPr>
          <w:p w:rsidR="00231DB0" w:rsidRPr="004E0774" w:rsidRDefault="00231DB0" w:rsidP="00C7466A">
            <w:pPr>
              <w:spacing w:after="0" w:line="240" w:lineRule="auto"/>
              <w:rPr>
                <w:rFonts w:cs="Calibri"/>
              </w:rPr>
            </w:pPr>
            <w:r w:rsidRPr="004E0774">
              <w:rPr>
                <w:rFonts w:cs="Calibri"/>
              </w:rPr>
              <w:t>Rec 1</w:t>
            </w:r>
          </w:p>
        </w:tc>
        <w:tc>
          <w:tcPr>
            <w:tcW w:w="3390" w:type="dxa"/>
            <w:shd w:val="clear" w:color="auto" w:fill="auto"/>
          </w:tcPr>
          <w:p w:rsidR="008E3DC2" w:rsidRDefault="008E3DC2" w:rsidP="008E3DC2">
            <w:pPr>
              <w:spacing w:after="0" w:line="240" w:lineRule="auto"/>
              <w:rPr>
                <w:rFonts w:cs="Calibri"/>
              </w:rPr>
            </w:pPr>
            <w:r w:rsidRPr="008E3DC2">
              <w:rPr>
                <w:rFonts w:cs="Calibri"/>
              </w:rPr>
              <w:t>Hospitals with prolonged waiting times for elective CABG surgery should review their processes and referral pathways to identify the causes of any delays. If necessary, advice should be sought from centres with evidence of the best performance. A QI action plan should be instigated to achieve this target.</w:t>
            </w:r>
          </w:p>
          <w:p w:rsidR="008E3DC2" w:rsidRPr="008E3DC2" w:rsidRDefault="008E3DC2" w:rsidP="008E3DC2">
            <w:pPr>
              <w:spacing w:after="0" w:line="240" w:lineRule="auto"/>
              <w:rPr>
                <w:rFonts w:cs="Calibri"/>
              </w:rPr>
            </w:pPr>
          </w:p>
          <w:p w:rsidR="008E3DC2" w:rsidRDefault="008E3DC2" w:rsidP="008E3DC2">
            <w:pPr>
              <w:spacing w:after="0" w:line="240" w:lineRule="auto"/>
              <w:rPr>
                <w:rFonts w:cs="Calibri"/>
              </w:rPr>
            </w:pPr>
            <w:r w:rsidRPr="008E3DC2">
              <w:rPr>
                <w:rFonts w:cs="Calibri"/>
              </w:rPr>
              <w:t>Units not achieving the target should consider ring-fencing level 3 ITU facilities, and seek to make greater use of day-of-surgery admissions (DOSA) and enhanced recovery after surgery (ERAS) to improve patient flows and outcomes.</w:t>
            </w:r>
          </w:p>
          <w:p w:rsidR="008E3DC2" w:rsidRPr="008E3DC2" w:rsidRDefault="008E3DC2" w:rsidP="008E3DC2">
            <w:pPr>
              <w:spacing w:after="0" w:line="240" w:lineRule="auto"/>
              <w:rPr>
                <w:rFonts w:cs="Calibri"/>
              </w:rPr>
            </w:pPr>
          </w:p>
          <w:p w:rsidR="00231DB0" w:rsidRDefault="008E3DC2" w:rsidP="008E3DC2">
            <w:pPr>
              <w:spacing w:after="0" w:line="240" w:lineRule="auto"/>
              <w:rPr>
                <w:rFonts w:cs="Calibri"/>
              </w:rPr>
            </w:pPr>
            <w:r w:rsidRPr="008E3DC2">
              <w:rPr>
                <w:rFonts w:cs="Calibri"/>
              </w:rPr>
              <w:t>Patients should be offered surgery in neighbouring hospitals with shorter waiting times if reductions in waiting times cannot be demonstrated.</w:t>
            </w:r>
          </w:p>
          <w:p w:rsidR="00D06997" w:rsidRPr="004E0774" w:rsidRDefault="00D06997" w:rsidP="008E3DC2">
            <w:pPr>
              <w:spacing w:after="0" w:line="240" w:lineRule="auto"/>
              <w:rPr>
                <w:rFonts w:cs="Calibri"/>
              </w:rPr>
            </w:pPr>
          </w:p>
        </w:tc>
        <w:tc>
          <w:tcPr>
            <w:tcW w:w="0" w:type="auto"/>
            <w:shd w:val="clear" w:color="auto" w:fill="auto"/>
          </w:tcPr>
          <w:p w:rsidR="00231DB0" w:rsidRDefault="008E3DC2" w:rsidP="00C7466A">
            <w:pPr>
              <w:spacing w:after="0" w:line="240" w:lineRule="auto"/>
              <w:rPr>
                <w:rFonts w:cs="Calibri"/>
              </w:rPr>
            </w:pPr>
            <w:r w:rsidRPr="008E3DC2">
              <w:rPr>
                <w:rFonts w:cs="Calibri"/>
              </w:rPr>
              <w:t>NACSA Report</w:t>
            </w:r>
            <w:r w:rsidR="00575074">
              <w:rPr>
                <w:rFonts w:cs="Calibri"/>
              </w:rPr>
              <w:t xml:space="preserve"> </w:t>
            </w:r>
            <w:r w:rsidR="00575074" w:rsidRPr="00711220">
              <w:rPr>
                <w:rFonts w:cs="Calibri"/>
              </w:rPr>
              <w:t xml:space="preserve">(page </w:t>
            </w:r>
            <w:r w:rsidR="008B6CFC" w:rsidRPr="00711220">
              <w:rPr>
                <w:rFonts w:cs="Calibri"/>
              </w:rPr>
              <w:t>18</w:t>
            </w:r>
            <w:r w:rsidR="00575074" w:rsidRPr="00711220">
              <w:rPr>
                <w:rFonts w:cs="Calibri"/>
              </w:rPr>
              <w:t>)</w:t>
            </w:r>
          </w:p>
          <w:p w:rsidR="0098606C" w:rsidRDefault="0098606C" w:rsidP="00C7466A">
            <w:pPr>
              <w:spacing w:after="0" w:line="240" w:lineRule="auto"/>
              <w:rPr>
                <w:rFonts w:cs="Calibri"/>
              </w:rPr>
            </w:pPr>
          </w:p>
          <w:p w:rsidR="0098606C" w:rsidRPr="004E0774" w:rsidRDefault="0098606C" w:rsidP="0098606C">
            <w:pPr>
              <w:spacing w:after="0" w:line="240" w:lineRule="auto"/>
              <w:rPr>
                <w:rFonts w:cs="Calibri"/>
              </w:rPr>
            </w:pPr>
            <w:r w:rsidRPr="0098606C">
              <w:rPr>
                <w:rFonts w:cs="Calibri"/>
              </w:rPr>
              <w:t>Only 5 NHS hospitals met the 84 day target. Eight hospitals had shorter times than 2019/20, but the remaining 27 had worse performance. There is a huge variation amongst NHS centres (range 37-271 days).</w:t>
            </w:r>
          </w:p>
        </w:tc>
        <w:tc>
          <w:tcPr>
            <w:tcW w:w="0" w:type="auto"/>
            <w:gridSpan w:val="2"/>
            <w:shd w:val="clear" w:color="auto" w:fill="auto"/>
          </w:tcPr>
          <w:p w:rsidR="008E3DC2" w:rsidRPr="008E3DC2" w:rsidRDefault="008E3DC2" w:rsidP="008E3DC2">
            <w:pPr>
              <w:spacing w:after="0" w:line="240" w:lineRule="auto"/>
              <w:rPr>
                <w:rFonts w:cs="Calibri"/>
              </w:rPr>
            </w:pPr>
            <w:r w:rsidRPr="008E3DC2">
              <w:rPr>
                <w:rFonts w:cs="Calibri"/>
              </w:rPr>
              <w:t xml:space="preserve">NHS England target of 18 weeks (126 days) from GP referral to treatment (but this includes several other steps in the pathway prior to final referral for surgery), meaning that the portion from the performance of diagnostic investigations to the treatment should be considerably less than 18 weeks. The finding of an abnormality on the coronary angiogram is usually the point that triggers the consideration of a referral for cardiac surgery. This time (from angiogram to operation) is the portion of the patient pathway that surgical teams can influence. </w:t>
            </w:r>
          </w:p>
          <w:p w:rsidR="008E3DC2" w:rsidRPr="008E3DC2" w:rsidRDefault="008E3DC2" w:rsidP="008E3DC2">
            <w:pPr>
              <w:spacing w:after="0" w:line="240" w:lineRule="auto"/>
              <w:rPr>
                <w:rFonts w:cs="Calibri"/>
              </w:rPr>
            </w:pPr>
          </w:p>
          <w:p w:rsidR="00231DB0" w:rsidRPr="004E0774" w:rsidRDefault="008E3DC2" w:rsidP="008E3DC2">
            <w:pPr>
              <w:spacing w:after="0" w:line="240" w:lineRule="auto"/>
              <w:rPr>
                <w:rFonts w:cs="Calibri"/>
              </w:rPr>
            </w:pPr>
            <w:r w:rsidRPr="008E3DC2">
              <w:rPr>
                <w:rFonts w:cs="Calibri"/>
              </w:rPr>
              <w:t>A target of 84 days means that the surgical team has taken 67% (12 weeks) of the referral-to-treatment time.</w:t>
            </w:r>
          </w:p>
        </w:tc>
        <w:tc>
          <w:tcPr>
            <w:tcW w:w="0" w:type="auto"/>
            <w:shd w:val="clear" w:color="auto" w:fill="auto"/>
          </w:tcPr>
          <w:p w:rsidR="00231DB0" w:rsidRPr="004E0774" w:rsidRDefault="008E3DC2" w:rsidP="00C7466A">
            <w:pPr>
              <w:spacing w:after="0" w:line="240" w:lineRule="auto"/>
              <w:rPr>
                <w:rFonts w:cs="Calibri"/>
                <w:color w:val="000000"/>
              </w:rPr>
            </w:pPr>
            <w:r>
              <w:rPr>
                <w:rFonts w:cs="Calibri"/>
                <w:color w:val="000000"/>
              </w:rPr>
              <w:t>Referral to Treatment Target</w:t>
            </w:r>
          </w:p>
        </w:tc>
        <w:tc>
          <w:tcPr>
            <w:tcW w:w="0" w:type="auto"/>
            <w:shd w:val="clear" w:color="auto" w:fill="auto"/>
          </w:tcPr>
          <w:p w:rsidR="00231DB0" w:rsidRPr="004E0774" w:rsidRDefault="008E3DC2" w:rsidP="00C7466A">
            <w:pPr>
              <w:spacing w:after="0" w:line="240" w:lineRule="auto"/>
              <w:rPr>
                <w:rFonts w:cs="Calibri"/>
              </w:rPr>
            </w:pPr>
            <w:r>
              <w:rPr>
                <w:rFonts w:cs="Calibri"/>
              </w:rPr>
              <w:t>N/A</w:t>
            </w:r>
          </w:p>
        </w:tc>
        <w:tc>
          <w:tcPr>
            <w:tcW w:w="0" w:type="auto"/>
            <w:shd w:val="clear" w:color="auto" w:fill="auto"/>
          </w:tcPr>
          <w:p w:rsidR="00231DB0" w:rsidRDefault="0098606C" w:rsidP="00C7466A">
            <w:pPr>
              <w:spacing w:after="0" w:line="240" w:lineRule="auto"/>
              <w:rPr>
                <w:rFonts w:cs="Calibri"/>
              </w:rPr>
            </w:pPr>
            <w:r w:rsidRPr="0098606C">
              <w:rPr>
                <w:rFonts w:cs="Calibri"/>
              </w:rPr>
              <w:t>Elective waiting times have worsened in all 3 UK nations between 2019/20 and 2020/21. Overall in the UK there was an increase of 22% from 104 to 127 days.</w:t>
            </w:r>
          </w:p>
          <w:p w:rsidR="0098606C" w:rsidRDefault="0098606C" w:rsidP="00C7466A">
            <w:pPr>
              <w:spacing w:after="0" w:line="240" w:lineRule="auto"/>
              <w:rPr>
                <w:rFonts w:cs="Calibri"/>
              </w:rPr>
            </w:pPr>
          </w:p>
          <w:p w:rsidR="0098606C" w:rsidRDefault="0098606C" w:rsidP="00C7466A">
            <w:pPr>
              <w:spacing w:after="0" w:line="240" w:lineRule="auto"/>
              <w:rPr>
                <w:rFonts w:cs="Calibri"/>
              </w:rPr>
            </w:pPr>
            <w:r w:rsidRPr="0098606C">
              <w:rPr>
                <w:rFonts w:cs="Calibri"/>
              </w:rPr>
              <w:t>In England there was a 21% increase, in Northern Ireland a 61% increase, and in Wales a 94% increase in waiting times in 2020/21.</w:t>
            </w:r>
          </w:p>
          <w:p w:rsidR="0098606C" w:rsidRPr="004E0774" w:rsidRDefault="0098606C" w:rsidP="00C7466A">
            <w:pPr>
              <w:spacing w:after="0" w:line="240" w:lineRule="auto"/>
              <w:rPr>
                <w:rFonts w:cs="Calibri"/>
              </w:rPr>
            </w:pPr>
          </w:p>
        </w:tc>
      </w:tr>
      <w:tr w:rsidR="00D06997" w:rsidRPr="00C7466A" w:rsidTr="00FD3932">
        <w:tc>
          <w:tcPr>
            <w:tcW w:w="817" w:type="dxa"/>
            <w:shd w:val="clear" w:color="auto" w:fill="auto"/>
          </w:tcPr>
          <w:p w:rsidR="008E3DC2" w:rsidRPr="004E0774" w:rsidRDefault="008E3DC2" w:rsidP="004E0774">
            <w:pPr>
              <w:spacing w:after="0" w:line="240" w:lineRule="auto"/>
              <w:rPr>
                <w:rFonts w:cs="Calibri"/>
              </w:rPr>
            </w:pPr>
            <w:r w:rsidRPr="004E0774">
              <w:rPr>
                <w:rFonts w:cs="Calibri"/>
              </w:rPr>
              <w:t>Rec 2</w:t>
            </w:r>
          </w:p>
        </w:tc>
        <w:tc>
          <w:tcPr>
            <w:tcW w:w="3390" w:type="dxa"/>
            <w:shd w:val="clear" w:color="auto" w:fill="auto"/>
          </w:tcPr>
          <w:p w:rsidR="008E3DC2" w:rsidRDefault="008E3DC2" w:rsidP="008E3DC2">
            <w:pPr>
              <w:spacing w:after="0" w:line="240" w:lineRule="auto"/>
              <w:rPr>
                <w:rFonts w:cs="Calibri"/>
              </w:rPr>
            </w:pPr>
            <w:r w:rsidRPr="008E3DC2">
              <w:rPr>
                <w:rFonts w:cs="Calibri"/>
              </w:rPr>
              <w:t>Hospitals not reaching the 7 day target of urgent CABG performed after coronary angiography should undertake a review of their processes to identify where delays occur and how these can be avoided. If necessary, advice should be sought from centres with evidence of the best performance. A QI action plan should be instigated to reduce delays.</w:t>
            </w:r>
          </w:p>
          <w:p w:rsidR="008E3DC2" w:rsidRPr="008E3DC2" w:rsidRDefault="008E3DC2" w:rsidP="008E3DC2">
            <w:pPr>
              <w:spacing w:after="0" w:line="240" w:lineRule="auto"/>
              <w:rPr>
                <w:rFonts w:cs="Calibri"/>
              </w:rPr>
            </w:pPr>
          </w:p>
          <w:p w:rsidR="008E3DC2" w:rsidRDefault="008E3DC2" w:rsidP="008E3DC2">
            <w:pPr>
              <w:spacing w:after="0" w:line="240" w:lineRule="auto"/>
              <w:rPr>
                <w:rFonts w:cs="Calibri"/>
              </w:rPr>
            </w:pPr>
            <w:r w:rsidRPr="008E3DC2">
              <w:rPr>
                <w:rFonts w:cs="Calibri"/>
              </w:rPr>
              <w:t>Units not achieving the target should consider ring-fencing level 3 ITU facilities, and seek to make greater use of enhanced recovery after surgery (ERAS) to improve patient flows and outcomes.</w:t>
            </w:r>
          </w:p>
          <w:p w:rsidR="00D06997" w:rsidRPr="004E0774" w:rsidRDefault="00D06997" w:rsidP="008E3DC2">
            <w:pPr>
              <w:spacing w:after="0" w:line="240" w:lineRule="auto"/>
              <w:rPr>
                <w:rFonts w:cs="Calibri"/>
              </w:rPr>
            </w:pPr>
          </w:p>
        </w:tc>
        <w:tc>
          <w:tcPr>
            <w:tcW w:w="0" w:type="auto"/>
            <w:shd w:val="clear" w:color="auto" w:fill="auto"/>
          </w:tcPr>
          <w:p w:rsidR="008E3DC2" w:rsidRDefault="008E3DC2" w:rsidP="00611EF0">
            <w:pPr>
              <w:spacing w:after="0" w:line="240" w:lineRule="auto"/>
              <w:rPr>
                <w:rFonts w:cs="Calibri"/>
              </w:rPr>
            </w:pPr>
            <w:r w:rsidRPr="008E3DC2">
              <w:rPr>
                <w:rFonts w:cs="Calibri"/>
              </w:rPr>
              <w:t>NACSA Report</w:t>
            </w:r>
            <w:r w:rsidR="00575074">
              <w:rPr>
                <w:rFonts w:cs="Calibri"/>
              </w:rPr>
              <w:t xml:space="preserve"> </w:t>
            </w:r>
            <w:r w:rsidR="00575074" w:rsidRPr="00711220">
              <w:rPr>
                <w:rFonts w:cs="Calibri"/>
              </w:rPr>
              <w:t xml:space="preserve">(page </w:t>
            </w:r>
            <w:r w:rsidR="008B6CFC" w:rsidRPr="00711220">
              <w:rPr>
                <w:rFonts w:cs="Calibri"/>
              </w:rPr>
              <w:t>22</w:t>
            </w:r>
            <w:r w:rsidR="00575074" w:rsidRPr="00711220">
              <w:rPr>
                <w:rFonts w:cs="Calibri"/>
              </w:rPr>
              <w:t>)</w:t>
            </w:r>
          </w:p>
          <w:p w:rsidR="0098606C" w:rsidRDefault="0098606C" w:rsidP="00611EF0">
            <w:pPr>
              <w:spacing w:after="0" w:line="240" w:lineRule="auto"/>
              <w:rPr>
                <w:rFonts w:cs="Calibri"/>
              </w:rPr>
            </w:pPr>
          </w:p>
          <w:p w:rsidR="0098606C" w:rsidRDefault="0098606C" w:rsidP="00611EF0">
            <w:pPr>
              <w:spacing w:after="0" w:line="240" w:lineRule="auto"/>
              <w:rPr>
                <w:rFonts w:cs="Calibri"/>
              </w:rPr>
            </w:pPr>
            <w:r w:rsidRPr="0098606C">
              <w:rPr>
                <w:rFonts w:cs="Calibri"/>
              </w:rPr>
              <w:t xml:space="preserve">There is considerable variation </w:t>
            </w:r>
            <w:r>
              <w:rPr>
                <w:rFonts w:cs="Calibri"/>
              </w:rPr>
              <w:t xml:space="preserve">in waiting time for urgent CABG </w:t>
            </w:r>
            <w:r w:rsidRPr="0098606C">
              <w:rPr>
                <w:rFonts w:cs="Calibri"/>
              </w:rPr>
              <w:t xml:space="preserve">between hospitals (between 6 days and 21 days). </w:t>
            </w:r>
          </w:p>
          <w:p w:rsidR="0098606C" w:rsidRDefault="0098606C" w:rsidP="00611EF0">
            <w:pPr>
              <w:spacing w:after="0" w:line="240" w:lineRule="auto"/>
              <w:rPr>
                <w:rFonts w:cs="Calibri"/>
              </w:rPr>
            </w:pPr>
          </w:p>
          <w:p w:rsidR="0098606C" w:rsidRDefault="0098606C" w:rsidP="00611EF0">
            <w:pPr>
              <w:spacing w:after="0" w:line="240" w:lineRule="auto"/>
              <w:rPr>
                <w:rFonts w:cs="Calibri"/>
              </w:rPr>
            </w:pPr>
            <w:r w:rsidRPr="0098606C">
              <w:rPr>
                <w:rFonts w:cs="Calibri"/>
              </w:rPr>
              <w:t>Three NHS hospitals achieved the 7 day target</w:t>
            </w:r>
            <w:r>
              <w:rPr>
                <w:rFonts w:cs="Calibri"/>
              </w:rPr>
              <w:t>.</w:t>
            </w:r>
          </w:p>
          <w:p w:rsidR="0098606C" w:rsidRPr="004E0774" w:rsidRDefault="0098606C" w:rsidP="00611EF0">
            <w:pPr>
              <w:spacing w:after="0" w:line="240" w:lineRule="auto"/>
              <w:rPr>
                <w:rFonts w:cs="Calibri"/>
              </w:rPr>
            </w:pPr>
          </w:p>
        </w:tc>
        <w:tc>
          <w:tcPr>
            <w:tcW w:w="0" w:type="auto"/>
            <w:gridSpan w:val="2"/>
            <w:shd w:val="clear" w:color="auto" w:fill="auto"/>
          </w:tcPr>
          <w:p w:rsidR="008E3DC2" w:rsidRPr="004E0774" w:rsidRDefault="008E3DC2" w:rsidP="00D06997">
            <w:pPr>
              <w:spacing w:after="0" w:line="240" w:lineRule="auto"/>
              <w:rPr>
                <w:rFonts w:cs="Calibri"/>
              </w:rPr>
            </w:pPr>
            <w:r w:rsidRPr="00E078D7">
              <w:t>The Commissioning for Quality and Innovation framework (CQUIN) target in 2016 recommended that 100% of patients should meet the target of undergoing urgent CABG within 7 days of angiography</w:t>
            </w:r>
          </w:p>
        </w:tc>
        <w:tc>
          <w:tcPr>
            <w:tcW w:w="0" w:type="auto"/>
            <w:shd w:val="clear" w:color="auto" w:fill="auto"/>
          </w:tcPr>
          <w:p w:rsidR="008E3DC2" w:rsidRPr="004E0774" w:rsidRDefault="008E3DC2" w:rsidP="00C7466A">
            <w:pPr>
              <w:spacing w:after="0" w:line="240" w:lineRule="auto"/>
              <w:rPr>
                <w:rFonts w:cs="Calibri"/>
                <w:color w:val="000000"/>
              </w:rPr>
            </w:pPr>
            <w:r w:rsidRPr="00E078D7">
              <w:t>CQUIN</w:t>
            </w:r>
          </w:p>
        </w:tc>
        <w:tc>
          <w:tcPr>
            <w:tcW w:w="0" w:type="auto"/>
            <w:shd w:val="clear" w:color="auto" w:fill="auto"/>
          </w:tcPr>
          <w:p w:rsidR="008E3DC2" w:rsidRPr="004E0774" w:rsidRDefault="008E3DC2" w:rsidP="00C7466A">
            <w:pPr>
              <w:spacing w:after="0" w:line="240" w:lineRule="auto"/>
              <w:rPr>
                <w:rFonts w:cs="Calibri"/>
              </w:rPr>
            </w:pPr>
            <w:r w:rsidRPr="00E078D7">
              <w:t>ESC/EACTS Revascularisation Guidelines</w:t>
            </w:r>
          </w:p>
        </w:tc>
        <w:tc>
          <w:tcPr>
            <w:tcW w:w="0" w:type="auto"/>
            <w:shd w:val="clear" w:color="auto" w:fill="auto"/>
          </w:tcPr>
          <w:p w:rsidR="0098606C" w:rsidRDefault="0098606C" w:rsidP="0098606C">
            <w:pPr>
              <w:spacing w:after="0" w:line="240" w:lineRule="auto"/>
              <w:rPr>
                <w:rFonts w:cs="Calibri"/>
              </w:rPr>
            </w:pPr>
            <w:r w:rsidRPr="0098606C">
              <w:rPr>
                <w:rFonts w:cs="Calibri"/>
              </w:rPr>
              <w:t xml:space="preserve">Across the UK as a whole the mean waiting time for urgent CABG has decreased from 11 to 10 days between </w:t>
            </w:r>
            <w:r>
              <w:rPr>
                <w:rFonts w:cs="Calibri"/>
              </w:rPr>
              <w:t>2019/20 and 2020/21</w:t>
            </w:r>
            <w:r w:rsidRPr="0098606C">
              <w:rPr>
                <w:rFonts w:cs="Calibri"/>
              </w:rPr>
              <w:t>.</w:t>
            </w:r>
          </w:p>
          <w:p w:rsidR="0098606C" w:rsidRPr="0098606C" w:rsidRDefault="0098606C" w:rsidP="0098606C">
            <w:pPr>
              <w:spacing w:after="0" w:line="240" w:lineRule="auto"/>
              <w:rPr>
                <w:rFonts w:cs="Calibri"/>
              </w:rPr>
            </w:pPr>
          </w:p>
          <w:p w:rsidR="008E3DC2" w:rsidRPr="004E0774" w:rsidRDefault="0098606C" w:rsidP="0098606C">
            <w:pPr>
              <w:spacing w:after="0" w:line="240" w:lineRule="auto"/>
              <w:rPr>
                <w:rFonts w:cs="Calibri"/>
              </w:rPr>
            </w:pPr>
            <w:r w:rsidRPr="0098606C">
              <w:rPr>
                <w:rFonts w:cs="Calibri"/>
              </w:rPr>
              <w:t>There was no change in England (10 days), an improvement in Northern Ireland (24 to 20 days) and a worsening in Wales (13.5 to 18.5 days).</w:t>
            </w:r>
          </w:p>
        </w:tc>
      </w:tr>
      <w:tr w:rsidR="00D06997" w:rsidRPr="00C7466A" w:rsidTr="00FD3932">
        <w:tc>
          <w:tcPr>
            <w:tcW w:w="817" w:type="dxa"/>
            <w:shd w:val="clear" w:color="auto" w:fill="auto"/>
          </w:tcPr>
          <w:p w:rsidR="008E3DC2" w:rsidRPr="004E0774" w:rsidRDefault="008E3DC2" w:rsidP="00C7466A">
            <w:pPr>
              <w:spacing w:after="0" w:line="240" w:lineRule="auto"/>
              <w:rPr>
                <w:rFonts w:cs="Calibri"/>
              </w:rPr>
            </w:pPr>
            <w:r w:rsidRPr="004E0774">
              <w:rPr>
                <w:rFonts w:cs="Calibri"/>
              </w:rPr>
              <w:t>Rec 3</w:t>
            </w:r>
          </w:p>
        </w:tc>
        <w:tc>
          <w:tcPr>
            <w:tcW w:w="3390" w:type="dxa"/>
            <w:shd w:val="clear" w:color="auto" w:fill="auto"/>
          </w:tcPr>
          <w:p w:rsidR="008E3DC2" w:rsidRDefault="008E3DC2" w:rsidP="008E3DC2">
            <w:pPr>
              <w:spacing w:after="0" w:line="240" w:lineRule="auto"/>
              <w:rPr>
                <w:rFonts w:cs="Calibri"/>
              </w:rPr>
            </w:pPr>
            <w:r w:rsidRPr="008E3DC2">
              <w:rPr>
                <w:rFonts w:cs="Calibri"/>
              </w:rPr>
              <w:t>Hospitals not reaching the 75% target of urgent CABG performed within 7 days of coronary angiography should undertake a review of their processes to identify where delays occur and how these can be avoided. If necessary, advice should be sought from centres with evidence of the best performance. A QI action plan should be instigated to reduce delays.</w:t>
            </w:r>
          </w:p>
          <w:p w:rsidR="008E3DC2" w:rsidRPr="008E3DC2" w:rsidRDefault="008E3DC2" w:rsidP="008E3DC2">
            <w:pPr>
              <w:spacing w:after="0" w:line="240" w:lineRule="auto"/>
              <w:rPr>
                <w:rFonts w:cs="Calibri"/>
              </w:rPr>
            </w:pPr>
          </w:p>
          <w:p w:rsidR="008E3DC2" w:rsidRDefault="008E3DC2" w:rsidP="008E3DC2">
            <w:pPr>
              <w:spacing w:after="0" w:line="240" w:lineRule="auto"/>
              <w:rPr>
                <w:rFonts w:cs="Calibri"/>
              </w:rPr>
            </w:pPr>
            <w:r w:rsidRPr="008E3DC2">
              <w:rPr>
                <w:rFonts w:cs="Calibri"/>
              </w:rPr>
              <w:t>Units not achieving the target should consider ring-fencing level 3 ITU facilities, and seek to make greater use of enhanced recovery after surgery (ERAS) to improve patient flows and outcomes.</w:t>
            </w:r>
          </w:p>
          <w:p w:rsidR="00D06997" w:rsidRPr="004E0774" w:rsidRDefault="00D06997" w:rsidP="008E3DC2">
            <w:pPr>
              <w:spacing w:after="0" w:line="240" w:lineRule="auto"/>
              <w:rPr>
                <w:rFonts w:cs="Calibri"/>
              </w:rPr>
            </w:pPr>
          </w:p>
        </w:tc>
        <w:tc>
          <w:tcPr>
            <w:tcW w:w="0" w:type="auto"/>
            <w:shd w:val="clear" w:color="auto" w:fill="auto"/>
          </w:tcPr>
          <w:p w:rsidR="008E3DC2" w:rsidRDefault="008E3DC2" w:rsidP="00611EF0">
            <w:pPr>
              <w:spacing w:after="0" w:line="240" w:lineRule="auto"/>
              <w:rPr>
                <w:rFonts w:cs="Calibri"/>
              </w:rPr>
            </w:pPr>
            <w:r w:rsidRPr="008E3DC2">
              <w:rPr>
                <w:rFonts w:cs="Calibri"/>
              </w:rPr>
              <w:t>NACSA Report</w:t>
            </w:r>
            <w:r w:rsidR="00575074">
              <w:rPr>
                <w:rFonts w:cs="Calibri"/>
              </w:rPr>
              <w:t xml:space="preserve"> </w:t>
            </w:r>
            <w:r w:rsidR="00575074" w:rsidRPr="00D618CB">
              <w:rPr>
                <w:rFonts w:cs="Calibri"/>
              </w:rPr>
              <w:t>(</w:t>
            </w:r>
            <w:r w:rsidR="00575074" w:rsidRPr="00711220">
              <w:rPr>
                <w:rFonts w:cs="Calibri"/>
              </w:rPr>
              <w:t xml:space="preserve">page </w:t>
            </w:r>
            <w:r w:rsidR="008B6CFC" w:rsidRPr="00711220">
              <w:rPr>
                <w:rFonts w:cs="Calibri"/>
              </w:rPr>
              <w:t>24</w:t>
            </w:r>
            <w:r w:rsidR="00575074" w:rsidRPr="00711220">
              <w:rPr>
                <w:rFonts w:cs="Calibri"/>
              </w:rPr>
              <w:t>)</w:t>
            </w:r>
          </w:p>
          <w:p w:rsidR="00D06997" w:rsidRDefault="00D06997" w:rsidP="00611EF0">
            <w:pPr>
              <w:spacing w:after="0" w:line="240" w:lineRule="auto"/>
              <w:rPr>
                <w:rFonts w:cs="Calibri"/>
              </w:rPr>
            </w:pPr>
          </w:p>
          <w:p w:rsidR="00D06997" w:rsidRPr="004E0774" w:rsidRDefault="00D06997" w:rsidP="00611EF0">
            <w:pPr>
              <w:spacing w:after="0" w:line="240" w:lineRule="auto"/>
              <w:rPr>
                <w:rFonts w:cs="Calibri"/>
              </w:rPr>
            </w:pPr>
            <w:r w:rsidRPr="00D06997">
              <w:rPr>
                <w:rFonts w:cs="Calibri"/>
              </w:rPr>
              <w:t>No NHS hospital achieved the target of &gt;75% and only 3 achieved &gt;50%. There is a very large variance from best to worst hospitals – from 58% to 9%</w:t>
            </w:r>
            <w:r>
              <w:rPr>
                <w:rFonts w:cs="Calibri"/>
              </w:rPr>
              <w:t>.</w:t>
            </w:r>
          </w:p>
        </w:tc>
        <w:tc>
          <w:tcPr>
            <w:tcW w:w="0" w:type="auto"/>
            <w:gridSpan w:val="2"/>
            <w:shd w:val="clear" w:color="auto" w:fill="auto"/>
          </w:tcPr>
          <w:p w:rsidR="00D06997" w:rsidRDefault="008E3DC2" w:rsidP="00C7466A">
            <w:pPr>
              <w:spacing w:after="0" w:line="240" w:lineRule="auto"/>
            </w:pPr>
            <w:r w:rsidRPr="00467CE5">
              <w:t>The Commissioning for Quality and Innovation framework (CQUIN) target (2016) recommended that 100% of patients should meet the target of undergoing urgent CABG within 7 da</w:t>
            </w:r>
            <w:r w:rsidR="00D06997">
              <w:t>ys of angiography.   In the 2021</w:t>
            </w:r>
            <w:r w:rsidRPr="00467CE5">
              <w:t xml:space="preserve"> NACSA report no NHS centre met this target. </w:t>
            </w:r>
          </w:p>
          <w:p w:rsidR="00D06997" w:rsidRDefault="00D06997" w:rsidP="00C7466A">
            <w:pPr>
              <w:spacing w:after="0" w:line="240" w:lineRule="auto"/>
            </w:pPr>
          </w:p>
          <w:p w:rsidR="008E3DC2" w:rsidRPr="004E0774" w:rsidRDefault="008E3DC2" w:rsidP="00C7466A">
            <w:pPr>
              <w:spacing w:after="0" w:line="240" w:lineRule="auto"/>
              <w:rPr>
                <w:rFonts w:cs="Calibri"/>
              </w:rPr>
            </w:pPr>
            <w:r w:rsidRPr="00467CE5">
              <w:t>A revised target of 75% was set for this audit cycle.</w:t>
            </w:r>
          </w:p>
        </w:tc>
        <w:tc>
          <w:tcPr>
            <w:tcW w:w="0" w:type="auto"/>
            <w:shd w:val="clear" w:color="auto" w:fill="auto"/>
          </w:tcPr>
          <w:p w:rsidR="008E3DC2" w:rsidRPr="004E0774" w:rsidRDefault="008E3DC2" w:rsidP="00C7466A">
            <w:pPr>
              <w:spacing w:after="0" w:line="240" w:lineRule="auto"/>
              <w:rPr>
                <w:rFonts w:cs="Calibri"/>
                <w:color w:val="000000"/>
              </w:rPr>
            </w:pPr>
            <w:r w:rsidRPr="00467CE5">
              <w:t>CQUIN</w:t>
            </w:r>
          </w:p>
        </w:tc>
        <w:tc>
          <w:tcPr>
            <w:tcW w:w="0" w:type="auto"/>
            <w:shd w:val="clear" w:color="auto" w:fill="auto"/>
          </w:tcPr>
          <w:p w:rsidR="008E3DC2" w:rsidRPr="004E0774" w:rsidRDefault="008E3DC2" w:rsidP="003E0511">
            <w:pPr>
              <w:spacing w:after="0" w:line="240" w:lineRule="auto"/>
              <w:rPr>
                <w:rFonts w:cs="Calibri"/>
              </w:rPr>
            </w:pPr>
            <w:r w:rsidRPr="00467CE5">
              <w:t>ESC/EACTS Revascularisation Guidelines</w:t>
            </w:r>
          </w:p>
        </w:tc>
        <w:tc>
          <w:tcPr>
            <w:tcW w:w="0" w:type="auto"/>
            <w:shd w:val="clear" w:color="auto" w:fill="auto"/>
          </w:tcPr>
          <w:p w:rsidR="008E3DC2" w:rsidRPr="004E0774" w:rsidRDefault="00D06997" w:rsidP="00D06997">
            <w:pPr>
              <w:spacing w:after="0" w:line="240" w:lineRule="auto"/>
              <w:rPr>
                <w:rFonts w:cs="Calibri"/>
              </w:rPr>
            </w:pPr>
            <w:r w:rsidRPr="00D06997">
              <w:rPr>
                <w:rFonts w:cs="Calibri"/>
              </w:rPr>
              <w:t>England had the best results with 35% of patients achieving the target in 2020/21 (compared to 34% in 2019/20); Wales got worse at 13% (compared to 19% in 2019/20). Northern Ireland improved, but still only achieved 14% (compared to 6%).</w:t>
            </w:r>
          </w:p>
        </w:tc>
      </w:tr>
      <w:tr w:rsidR="00D06997" w:rsidRPr="004E0774" w:rsidTr="00FD3932">
        <w:tc>
          <w:tcPr>
            <w:tcW w:w="817" w:type="dxa"/>
            <w:shd w:val="clear" w:color="auto" w:fill="auto"/>
          </w:tcPr>
          <w:p w:rsidR="008E3DC2" w:rsidRPr="004E0774" w:rsidRDefault="008E3DC2" w:rsidP="008A30A2">
            <w:pPr>
              <w:spacing w:after="0" w:line="240" w:lineRule="auto"/>
              <w:rPr>
                <w:rFonts w:cs="Calibri"/>
              </w:rPr>
            </w:pPr>
            <w:r w:rsidRPr="004E0774">
              <w:rPr>
                <w:rFonts w:cs="Calibri"/>
              </w:rPr>
              <w:t>Rec 4</w:t>
            </w:r>
          </w:p>
        </w:tc>
        <w:tc>
          <w:tcPr>
            <w:tcW w:w="3390" w:type="dxa"/>
            <w:shd w:val="clear" w:color="auto" w:fill="auto"/>
          </w:tcPr>
          <w:p w:rsidR="00D06997" w:rsidRPr="004E0774" w:rsidRDefault="008E3DC2" w:rsidP="008A30A2">
            <w:pPr>
              <w:spacing w:after="0" w:line="240" w:lineRule="auto"/>
              <w:rPr>
                <w:rFonts w:cs="Calibri"/>
              </w:rPr>
            </w:pPr>
            <w:r w:rsidRPr="008E3DC2">
              <w:rPr>
                <w:rFonts w:cs="Calibri"/>
              </w:rPr>
              <w:t xml:space="preserve">Hospitals not reaching the </w:t>
            </w:r>
            <w:r w:rsidR="00D06997">
              <w:rPr>
                <w:rFonts w:cs="Calibri"/>
              </w:rPr>
              <w:t>Day of Surgery Admission (</w:t>
            </w:r>
            <w:r w:rsidRPr="008E3DC2">
              <w:rPr>
                <w:rFonts w:cs="Calibri"/>
              </w:rPr>
              <w:t>DOSA</w:t>
            </w:r>
            <w:r w:rsidR="00D06997">
              <w:rPr>
                <w:rFonts w:cs="Calibri"/>
              </w:rPr>
              <w:t>)</w:t>
            </w:r>
            <w:r w:rsidRPr="008E3DC2">
              <w:rPr>
                <w:rFonts w:cs="Calibri"/>
              </w:rPr>
              <w:t xml:space="preserve"> target should undertake a review of their processes to identify the barriers to achieving this target (such as introducing pre-assessment clinics). If necessary, advice should be sought from centres with evidence of the best performance. A QI action plan should be instigated to achieve this target.</w:t>
            </w:r>
          </w:p>
        </w:tc>
        <w:tc>
          <w:tcPr>
            <w:tcW w:w="0" w:type="auto"/>
            <w:shd w:val="clear" w:color="auto" w:fill="auto"/>
          </w:tcPr>
          <w:p w:rsidR="008E3DC2" w:rsidRDefault="008E3DC2" w:rsidP="008A30A2">
            <w:pPr>
              <w:spacing w:after="0" w:line="240" w:lineRule="auto"/>
              <w:rPr>
                <w:rFonts w:cs="Calibri"/>
              </w:rPr>
            </w:pPr>
            <w:r w:rsidRPr="008E3DC2">
              <w:rPr>
                <w:rFonts w:cs="Calibri"/>
              </w:rPr>
              <w:t>NACSA Report</w:t>
            </w:r>
            <w:r w:rsidR="00575074">
              <w:rPr>
                <w:rFonts w:cs="Calibri"/>
              </w:rPr>
              <w:t xml:space="preserve"> </w:t>
            </w:r>
            <w:r w:rsidR="00575074" w:rsidRPr="00711220">
              <w:rPr>
                <w:rFonts w:cs="Calibri"/>
              </w:rPr>
              <w:t xml:space="preserve">(page </w:t>
            </w:r>
            <w:r w:rsidR="008B6CFC" w:rsidRPr="00711220">
              <w:rPr>
                <w:rFonts w:cs="Calibri"/>
              </w:rPr>
              <w:t>26</w:t>
            </w:r>
            <w:r w:rsidR="00575074" w:rsidRPr="00711220">
              <w:rPr>
                <w:rFonts w:cs="Calibri"/>
              </w:rPr>
              <w:t>)</w:t>
            </w:r>
          </w:p>
          <w:p w:rsidR="00D06997" w:rsidRDefault="00D06997" w:rsidP="008A30A2">
            <w:pPr>
              <w:spacing w:after="0" w:line="240" w:lineRule="auto"/>
              <w:rPr>
                <w:rFonts w:cs="Calibri"/>
              </w:rPr>
            </w:pPr>
          </w:p>
          <w:p w:rsidR="008E3DC2" w:rsidRPr="004E0774" w:rsidRDefault="00D06997" w:rsidP="00D06997">
            <w:pPr>
              <w:spacing w:after="0" w:line="240" w:lineRule="auto"/>
              <w:rPr>
                <w:rFonts w:cs="Calibri"/>
              </w:rPr>
            </w:pPr>
            <w:r w:rsidRPr="00D06997">
              <w:rPr>
                <w:rFonts w:cs="Calibri"/>
              </w:rPr>
              <w:t>There was very considerable variation amongst NHS centres in 2020/21 (from 0% to 38.2%). No centre achieved the target of bett</w:t>
            </w:r>
            <w:r>
              <w:rPr>
                <w:rFonts w:cs="Calibri"/>
              </w:rPr>
              <w:t>er than 50% last year</w:t>
            </w:r>
            <w:r w:rsidRPr="00D06997">
              <w:rPr>
                <w:rFonts w:cs="Calibri"/>
              </w:rPr>
              <w:t>, whereas 4 achieved it in 2019/20.</w:t>
            </w:r>
          </w:p>
        </w:tc>
        <w:tc>
          <w:tcPr>
            <w:tcW w:w="0" w:type="auto"/>
            <w:gridSpan w:val="2"/>
            <w:shd w:val="clear" w:color="auto" w:fill="auto"/>
          </w:tcPr>
          <w:p w:rsidR="008E3DC2" w:rsidRPr="004E0774" w:rsidRDefault="008E3DC2" w:rsidP="008A30A2">
            <w:pPr>
              <w:spacing w:after="0" w:line="240" w:lineRule="auto"/>
              <w:rPr>
                <w:rFonts w:cs="Calibri"/>
              </w:rPr>
            </w:pPr>
            <w:r w:rsidRPr="007F7BFB">
              <w:t>At least 50% of elective patients should be admitted on the day of surgery</w:t>
            </w:r>
          </w:p>
        </w:tc>
        <w:tc>
          <w:tcPr>
            <w:tcW w:w="0" w:type="auto"/>
            <w:shd w:val="clear" w:color="auto" w:fill="auto"/>
          </w:tcPr>
          <w:p w:rsidR="008E3DC2" w:rsidRPr="004E0774" w:rsidRDefault="008E3DC2" w:rsidP="008A30A2">
            <w:pPr>
              <w:spacing w:after="0" w:line="240" w:lineRule="auto"/>
              <w:rPr>
                <w:rFonts w:cs="Calibri"/>
                <w:color w:val="000000"/>
              </w:rPr>
            </w:pPr>
            <w:r w:rsidRPr="007F7BFB">
              <w:t>N/A</w:t>
            </w:r>
          </w:p>
        </w:tc>
        <w:tc>
          <w:tcPr>
            <w:tcW w:w="0" w:type="auto"/>
            <w:shd w:val="clear" w:color="auto" w:fill="auto"/>
          </w:tcPr>
          <w:p w:rsidR="008E3DC2" w:rsidRPr="004E0774" w:rsidRDefault="008E3DC2" w:rsidP="008A30A2">
            <w:pPr>
              <w:spacing w:after="0" w:line="240" w:lineRule="auto"/>
              <w:rPr>
                <w:rFonts w:cs="Calibri"/>
              </w:rPr>
            </w:pPr>
            <w:r w:rsidRPr="007F7BFB">
              <w:t xml:space="preserve">GIRFT </w:t>
            </w:r>
            <w:r>
              <w:t>2018</w:t>
            </w:r>
          </w:p>
        </w:tc>
        <w:tc>
          <w:tcPr>
            <w:tcW w:w="0" w:type="auto"/>
            <w:shd w:val="clear" w:color="auto" w:fill="auto"/>
          </w:tcPr>
          <w:p w:rsidR="008E3DC2" w:rsidRPr="004E0774" w:rsidRDefault="00D06997" w:rsidP="008A30A2">
            <w:pPr>
              <w:spacing w:after="0" w:line="240" w:lineRule="auto"/>
              <w:rPr>
                <w:rFonts w:cs="Calibri"/>
              </w:rPr>
            </w:pPr>
            <w:r w:rsidRPr="00D06997">
              <w:rPr>
                <w:rFonts w:cs="Calibri"/>
              </w:rPr>
              <w:t>After 3 years of improvements particularly in England following the GIRFT report, the rate fell to the worst ever in 2020/21 with only 8.3% of UK patients admitted as DOSA in 2020/21 (from 19.6% in 2019/20).</w:t>
            </w:r>
          </w:p>
        </w:tc>
      </w:tr>
    </w:tbl>
    <w:p w:rsidR="002F2FD6" w:rsidRPr="00C7466A" w:rsidRDefault="002F2FD6" w:rsidP="004B7B4F">
      <w:pPr>
        <w:tabs>
          <w:tab w:val="left" w:pos="2337"/>
        </w:tabs>
        <w:rPr>
          <w:rFonts w:cs="Calibri"/>
          <w:sz w:val="20"/>
          <w:szCs w:val="20"/>
        </w:rPr>
      </w:pPr>
    </w:p>
    <w:sectPr w:rsidR="002F2FD6" w:rsidRPr="00C7466A" w:rsidSect="00BF4322">
      <w:footerReference w:type="default" r:id="rId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5D00" w:rsidRDefault="00E45D00" w:rsidP="00AB1ED2">
      <w:pPr>
        <w:spacing w:after="0" w:line="240" w:lineRule="auto"/>
      </w:pPr>
      <w:r>
        <w:separator/>
      </w:r>
    </w:p>
  </w:endnote>
  <w:endnote w:type="continuationSeparator" w:id="0">
    <w:p w:rsidR="00E45D00" w:rsidRDefault="00E45D00" w:rsidP="00AB1E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1ED2" w:rsidRDefault="00AB1ED2">
    <w:pPr>
      <w:pStyle w:val="Footer"/>
    </w:pPr>
    <w:r w:rsidRPr="00566815">
      <w:rPr>
        <w:sz w:val="16"/>
        <w:szCs w:val="16"/>
      </w:rPr>
      <w:t xml:space="preserve">Page </w:t>
    </w:r>
    <w:r w:rsidRPr="00566815">
      <w:rPr>
        <w:bCs/>
        <w:sz w:val="16"/>
        <w:szCs w:val="16"/>
      </w:rPr>
      <w:fldChar w:fldCharType="begin"/>
    </w:r>
    <w:r w:rsidRPr="00566815">
      <w:rPr>
        <w:bCs/>
        <w:sz w:val="16"/>
        <w:szCs w:val="16"/>
      </w:rPr>
      <w:instrText xml:space="preserve"> PAGE </w:instrText>
    </w:r>
    <w:r w:rsidRPr="00566815">
      <w:rPr>
        <w:bCs/>
        <w:sz w:val="16"/>
        <w:szCs w:val="16"/>
      </w:rPr>
      <w:fldChar w:fldCharType="separate"/>
    </w:r>
    <w:r w:rsidR="00FD3932">
      <w:rPr>
        <w:bCs/>
        <w:noProof/>
        <w:sz w:val="16"/>
        <w:szCs w:val="16"/>
      </w:rPr>
      <w:t>3</w:t>
    </w:r>
    <w:r w:rsidRPr="00566815">
      <w:rPr>
        <w:bCs/>
        <w:sz w:val="16"/>
        <w:szCs w:val="16"/>
      </w:rPr>
      <w:fldChar w:fldCharType="end"/>
    </w:r>
    <w:r w:rsidRPr="00566815">
      <w:rPr>
        <w:sz w:val="16"/>
        <w:szCs w:val="16"/>
      </w:rPr>
      <w:t xml:space="preserve"> of </w:t>
    </w:r>
    <w:r w:rsidRPr="00566815">
      <w:rPr>
        <w:bCs/>
        <w:sz w:val="16"/>
        <w:szCs w:val="16"/>
      </w:rPr>
      <w:fldChar w:fldCharType="begin"/>
    </w:r>
    <w:r w:rsidRPr="00566815">
      <w:rPr>
        <w:bCs/>
        <w:sz w:val="16"/>
        <w:szCs w:val="16"/>
      </w:rPr>
      <w:instrText xml:space="preserve"> NUMPAGES  </w:instrText>
    </w:r>
    <w:r w:rsidRPr="00566815">
      <w:rPr>
        <w:bCs/>
        <w:sz w:val="16"/>
        <w:szCs w:val="16"/>
      </w:rPr>
      <w:fldChar w:fldCharType="separate"/>
    </w:r>
    <w:r w:rsidR="00FD3932">
      <w:rPr>
        <w:bCs/>
        <w:noProof/>
        <w:sz w:val="16"/>
        <w:szCs w:val="16"/>
      </w:rPr>
      <w:t>3</w:t>
    </w:r>
    <w:r w:rsidRPr="00566815">
      <w:rPr>
        <w:bCs/>
        <w:sz w:val="16"/>
        <w:szCs w:val="16"/>
      </w:rPr>
      <w:fldChar w:fldCharType="end"/>
    </w:r>
    <w:r w:rsidRPr="00566815">
      <w:rPr>
        <w:bCs/>
        <w:sz w:val="16"/>
        <w:szCs w:val="16"/>
      </w:rPr>
      <w:t xml:space="preserve"> SRP provider line of sight template </w:t>
    </w:r>
    <w:r w:rsidR="00711220">
      <w:rPr>
        <w:bCs/>
        <w:sz w:val="16"/>
        <w:szCs w:val="16"/>
      </w:rPr>
      <w:t>16</w:t>
    </w:r>
    <w:r w:rsidR="00D54A97">
      <w:rPr>
        <w:bCs/>
        <w:sz w:val="16"/>
        <w:szCs w:val="16"/>
      </w:rPr>
      <w:t>-0</w:t>
    </w:r>
    <w:r w:rsidR="00711220">
      <w:rPr>
        <w:bCs/>
        <w:sz w:val="16"/>
        <w:szCs w:val="16"/>
      </w:rPr>
      <w:t>6</w:t>
    </w:r>
    <w:r w:rsidR="00D54A97">
      <w:rPr>
        <w:bCs/>
        <w:sz w:val="16"/>
        <w:szCs w:val="16"/>
      </w:rPr>
      <w:t>-20</w:t>
    </w:r>
    <w:r w:rsidR="00711220">
      <w:rPr>
        <w:bCs/>
        <w:sz w:val="16"/>
        <w:szCs w:val="16"/>
      </w:rPr>
      <w:t>22</w:t>
    </w:r>
  </w:p>
  <w:p w:rsidR="00AB1ED2" w:rsidRDefault="00AB1E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5D00" w:rsidRDefault="00E45D00" w:rsidP="00AB1ED2">
      <w:pPr>
        <w:spacing w:after="0" w:line="240" w:lineRule="auto"/>
      </w:pPr>
      <w:r>
        <w:separator/>
      </w:r>
    </w:p>
  </w:footnote>
  <w:footnote w:type="continuationSeparator" w:id="0">
    <w:p w:rsidR="00E45D00" w:rsidRDefault="00E45D00" w:rsidP="00AB1E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36479F"/>
    <w:multiLevelType w:val="multilevel"/>
    <w:tmpl w:val="BDD8B8A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2217ED6"/>
    <w:multiLevelType w:val="hybridMultilevel"/>
    <w:tmpl w:val="79E4AD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78733674"/>
    <w:multiLevelType w:val="hybridMultilevel"/>
    <w:tmpl w:val="FA7ABAD2"/>
    <w:lvl w:ilvl="0" w:tplc="93EA0BFA">
      <w:start w:val="1"/>
      <w:numFmt w:val="decimal"/>
      <w:lvlText w:val="%1."/>
      <w:lvlJc w:val="left"/>
      <w:pPr>
        <w:ind w:left="720" w:hanging="360"/>
      </w:pPr>
      <w:rPr>
        <w:rFonts w:eastAsia="Times New Roman" w:cs="Times New Roman"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D8652E7"/>
    <w:multiLevelType w:val="hybridMultilevel"/>
    <w:tmpl w:val="460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5862"/>
    <w:rsid w:val="00004BDA"/>
    <w:rsid w:val="00082A47"/>
    <w:rsid w:val="000963E4"/>
    <w:rsid w:val="000A6563"/>
    <w:rsid w:val="000F34F8"/>
    <w:rsid w:val="000F7DD7"/>
    <w:rsid w:val="001010C8"/>
    <w:rsid w:val="00116CE3"/>
    <w:rsid w:val="001613A4"/>
    <w:rsid w:val="001D2E73"/>
    <w:rsid w:val="00221C0A"/>
    <w:rsid w:val="00223FD0"/>
    <w:rsid w:val="00231DB0"/>
    <w:rsid w:val="00232B28"/>
    <w:rsid w:val="00252A55"/>
    <w:rsid w:val="002D177D"/>
    <w:rsid w:val="002F2FD6"/>
    <w:rsid w:val="00321E5B"/>
    <w:rsid w:val="003751D0"/>
    <w:rsid w:val="003E0511"/>
    <w:rsid w:val="00420FC9"/>
    <w:rsid w:val="004212BB"/>
    <w:rsid w:val="00431444"/>
    <w:rsid w:val="00480313"/>
    <w:rsid w:val="00490EB2"/>
    <w:rsid w:val="004B7B4F"/>
    <w:rsid w:val="004E0774"/>
    <w:rsid w:val="004E21BB"/>
    <w:rsid w:val="00566815"/>
    <w:rsid w:val="00575074"/>
    <w:rsid w:val="005812CB"/>
    <w:rsid w:val="005A6975"/>
    <w:rsid w:val="005C4D00"/>
    <w:rsid w:val="005E7BEB"/>
    <w:rsid w:val="005F7B42"/>
    <w:rsid w:val="00611EF0"/>
    <w:rsid w:val="00676F8B"/>
    <w:rsid w:val="00711220"/>
    <w:rsid w:val="007359E9"/>
    <w:rsid w:val="007440CE"/>
    <w:rsid w:val="007D795F"/>
    <w:rsid w:val="007E5327"/>
    <w:rsid w:val="007E5382"/>
    <w:rsid w:val="008253F9"/>
    <w:rsid w:val="0087680E"/>
    <w:rsid w:val="00897779"/>
    <w:rsid w:val="008B6CFC"/>
    <w:rsid w:val="008C04FC"/>
    <w:rsid w:val="008E3DC2"/>
    <w:rsid w:val="008E6341"/>
    <w:rsid w:val="009163D6"/>
    <w:rsid w:val="0098606C"/>
    <w:rsid w:val="00A10BEF"/>
    <w:rsid w:val="00AB1ED2"/>
    <w:rsid w:val="00AD2D45"/>
    <w:rsid w:val="00AE027D"/>
    <w:rsid w:val="00B212FF"/>
    <w:rsid w:val="00B8086F"/>
    <w:rsid w:val="00B86985"/>
    <w:rsid w:val="00BB3DAC"/>
    <w:rsid w:val="00BC1CB7"/>
    <w:rsid w:val="00BE5154"/>
    <w:rsid w:val="00BF4322"/>
    <w:rsid w:val="00C15862"/>
    <w:rsid w:val="00C3059E"/>
    <w:rsid w:val="00C43E31"/>
    <w:rsid w:val="00C7466A"/>
    <w:rsid w:val="00D06997"/>
    <w:rsid w:val="00D43F8B"/>
    <w:rsid w:val="00D54A97"/>
    <w:rsid w:val="00D54FC7"/>
    <w:rsid w:val="00D618CB"/>
    <w:rsid w:val="00D85146"/>
    <w:rsid w:val="00DB28AD"/>
    <w:rsid w:val="00DF5210"/>
    <w:rsid w:val="00DF7380"/>
    <w:rsid w:val="00E45D00"/>
    <w:rsid w:val="00EB568A"/>
    <w:rsid w:val="00ED4CE9"/>
    <w:rsid w:val="00F313B7"/>
    <w:rsid w:val="00FC36C9"/>
    <w:rsid w:val="00FD39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F5A5F7"/>
  <w15:docId w15:val="{5CEA52C9-F2F7-49BF-882F-3EF335027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0EB2"/>
    <w:pPr>
      <w:spacing w:after="160" w:line="259"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21C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B1E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1ED2"/>
  </w:style>
  <w:style w:type="paragraph" w:styleId="Footer">
    <w:name w:val="footer"/>
    <w:basedOn w:val="Normal"/>
    <w:link w:val="FooterChar"/>
    <w:uiPriority w:val="99"/>
    <w:unhideWhenUsed/>
    <w:rsid w:val="00AB1E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1ED2"/>
  </w:style>
  <w:style w:type="paragraph" w:styleId="ListParagraph">
    <w:name w:val="List Paragraph"/>
    <w:basedOn w:val="Normal"/>
    <w:uiPriority w:val="34"/>
    <w:qFormat/>
    <w:rsid w:val="007E5382"/>
    <w:pPr>
      <w:ind w:left="720"/>
      <w:contextualSpacing/>
    </w:pPr>
  </w:style>
  <w:style w:type="character" w:styleId="CommentReference">
    <w:name w:val="annotation reference"/>
    <w:uiPriority w:val="99"/>
    <w:semiHidden/>
    <w:unhideWhenUsed/>
    <w:rsid w:val="00BE5154"/>
    <w:rPr>
      <w:sz w:val="16"/>
      <w:szCs w:val="16"/>
    </w:rPr>
  </w:style>
  <w:style w:type="paragraph" w:styleId="CommentText">
    <w:name w:val="annotation text"/>
    <w:basedOn w:val="Normal"/>
    <w:link w:val="CommentTextChar"/>
    <w:uiPriority w:val="99"/>
    <w:semiHidden/>
    <w:unhideWhenUsed/>
    <w:rsid w:val="00BE5154"/>
    <w:pPr>
      <w:spacing w:line="240" w:lineRule="auto"/>
    </w:pPr>
    <w:rPr>
      <w:sz w:val="20"/>
      <w:szCs w:val="20"/>
    </w:rPr>
  </w:style>
  <w:style w:type="character" w:customStyle="1" w:styleId="CommentTextChar">
    <w:name w:val="Comment Text Char"/>
    <w:link w:val="CommentText"/>
    <w:uiPriority w:val="99"/>
    <w:semiHidden/>
    <w:rsid w:val="00BE5154"/>
    <w:rPr>
      <w:sz w:val="20"/>
      <w:szCs w:val="20"/>
    </w:rPr>
  </w:style>
  <w:style w:type="paragraph" w:styleId="CommentSubject">
    <w:name w:val="annotation subject"/>
    <w:basedOn w:val="CommentText"/>
    <w:next w:val="CommentText"/>
    <w:link w:val="CommentSubjectChar"/>
    <w:uiPriority w:val="99"/>
    <w:semiHidden/>
    <w:unhideWhenUsed/>
    <w:rsid w:val="00BE5154"/>
    <w:rPr>
      <w:b/>
      <w:bCs/>
    </w:rPr>
  </w:style>
  <w:style w:type="character" w:customStyle="1" w:styleId="CommentSubjectChar">
    <w:name w:val="Comment Subject Char"/>
    <w:link w:val="CommentSubject"/>
    <w:uiPriority w:val="99"/>
    <w:semiHidden/>
    <w:rsid w:val="00BE5154"/>
    <w:rPr>
      <w:b/>
      <w:bCs/>
      <w:sz w:val="20"/>
      <w:szCs w:val="20"/>
    </w:rPr>
  </w:style>
  <w:style w:type="paragraph" w:styleId="BalloonText">
    <w:name w:val="Balloon Text"/>
    <w:basedOn w:val="Normal"/>
    <w:link w:val="BalloonTextChar"/>
    <w:uiPriority w:val="99"/>
    <w:semiHidden/>
    <w:unhideWhenUsed/>
    <w:rsid w:val="00BE5154"/>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BE515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4242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484CC30C290334F8F2D4D6AFC9A12E5" ma:contentTypeVersion="20" ma:contentTypeDescription="Create a new document." ma:contentTypeScope="" ma:versionID="562766c7c6fc5d01cc4f960654ef53bd">
  <xsd:schema xmlns:xsd="http://www.w3.org/2001/XMLSchema" xmlns:xs="http://www.w3.org/2001/XMLSchema" xmlns:p="http://schemas.microsoft.com/office/2006/metadata/properties" xmlns:ns2="c87ab028-8257-48fa-bbf6-93c162f87ccb" xmlns:ns3="8c0ec423-5f39-4cd1-9015-37fc60afb156" targetNamespace="http://schemas.microsoft.com/office/2006/metadata/properties" ma:root="true" ma:fieldsID="b4c69cb0e09ab330cd8464a81a01e82c" ns2:_="" ns3:_="">
    <xsd:import namespace="c87ab028-8257-48fa-bbf6-93c162f87ccb"/>
    <xsd:import namespace="8c0ec423-5f39-4cd1-9015-37fc60afb156"/>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Numbe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7ab028-8257-48fa-bbf6-93c162f87ccb"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element name="TaxCatchAll" ma:index="26" nillable="true" ma:displayName="Taxonomy Catch All Column" ma:hidden="true" ma:list="{af84e715-a139-431f-967b-1ba19f8f2abf}" ma:internalName="TaxCatchAll" ma:showField="CatchAllData" ma:web="c87ab028-8257-48fa-bbf6-93c162f87cc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c0ec423-5f39-4cd1-9015-37fc60afb156"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Location" ma:index="17" nillable="true" ma:displayName="MediaServiceLocation" ma:internalName="MediaServiceLocation" ma:readOnly="true">
      <xsd:simpleType>
        <xsd:restriction base="dms:Text"/>
      </xsd:simpleType>
    </xsd:element>
    <xsd:element name="Number" ma:index="18" nillable="true" ma:displayName="Number" ma:internalName="Number">
      <xsd:simpleType>
        <xsd:restriction base="dms:Number"/>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c0ec423-5f39-4cd1-9015-37fc60afb156">
      <Terms xmlns="http://schemas.microsoft.com/office/infopath/2007/PartnerControls"/>
    </lcf76f155ced4ddcb4097134ff3c332f>
    <Number xmlns="8c0ec423-5f39-4cd1-9015-37fc60afb156" xsi:nil="true"/>
    <TaxCatchAll xmlns="c87ab028-8257-48fa-bbf6-93c162f87ccb" xsi:nil="true"/>
  </documentManagement>
</p:properties>
</file>

<file path=customXml/itemProps1.xml><?xml version="1.0" encoding="utf-8"?>
<ds:datastoreItem xmlns:ds="http://schemas.openxmlformats.org/officeDocument/2006/customXml" ds:itemID="{65A427B2-4878-4DDD-AC4E-B08369E830B5}"/>
</file>

<file path=customXml/itemProps2.xml><?xml version="1.0" encoding="utf-8"?>
<ds:datastoreItem xmlns:ds="http://schemas.openxmlformats.org/officeDocument/2006/customXml" ds:itemID="{2998CBE1-8734-4957-8632-13B345FCD28E}"/>
</file>

<file path=customXml/itemProps3.xml><?xml version="1.0" encoding="utf-8"?>
<ds:datastoreItem xmlns:ds="http://schemas.openxmlformats.org/officeDocument/2006/customXml" ds:itemID="{BDFD6AE7-D6A5-4D52-839B-390E34A8509A}"/>
</file>

<file path=docProps/app.xml><?xml version="1.0" encoding="utf-8"?>
<Properties xmlns="http://schemas.openxmlformats.org/officeDocument/2006/extended-properties" xmlns:vt="http://schemas.openxmlformats.org/officeDocument/2006/docPropsVTypes">
  <Template>Normal</Template>
  <TotalTime>6</TotalTime>
  <Pages>1</Pages>
  <Words>1017</Words>
  <Characters>5798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Bradley, Anthony</dc:creator>
  <cp:lastModifiedBy>PERWAIZ, Samuel (BARTS HEALTH NHS TRUST)</cp:lastModifiedBy>
  <cp:revision>3</cp:revision>
  <dcterms:created xsi:type="dcterms:W3CDTF">2022-06-09T07:30:00Z</dcterms:created>
  <dcterms:modified xsi:type="dcterms:W3CDTF">2022-06-15T09:40:00Z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48d14a78-3758-4edd-9cbc-c079203b3b5f</vt:lpwstr>
  </property>
  <property fmtid="{D5CDD505-2E9C-101B-9397-08002B2CF9AE}" pid="3" name="ContentTypeId">
    <vt:lpwstr>0x010100E484CC30C290334F8F2D4D6AFC9A12E5</vt:lpwstr>
  </property>
</Properties>
</file>